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72266" w:rsidRDefault="00AD31AD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72266">
        <w:rPr>
          <w:szCs w:val="20"/>
          <w:lang w:val="sr-Cyrl-RS"/>
        </w:rPr>
        <w:t xml:space="preserve">                       </w:t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872266" w:rsidRDefault="00593134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872266" w:rsidRDefault="00FE449D" w:rsidP="00872266">
      <w:pPr>
        <w:spacing w:line="276" w:lineRule="auto"/>
        <w:rPr>
          <w:rFonts w:ascii="Times New Roman" w:hAnsi="Times New Roman" w:cs="Times New Roman"/>
          <w:szCs w:val="20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72266">
        <w:rPr>
          <w:rFonts w:ascii="Times New Roman" w:hAnsi="Times New Roman" w:cs="Times New Roman"/>
          <w:szCs w:val="20"/>
        </w:rPr>
        <w:t xml:space="preserve"> </w:t>
      </w:r>
      <w:r w:rsidR="000207A5">
        <w:rPr>
          <w:rFonts w:ascii="Times New Roman" w:hAnsi="Times New Roman" w:cs="Times New Roman"/>
          <w:szCs w:val="20"/>
        </w:rPr>
        <w:t>9</w:t>
      </w:r>
      <w:r w:rsidR="00A5641F">
        <w:rPr>
          <w:rFonts w:ascii="Times New Roman" w:hAnsi="Times New Roman" w:cs="Times New Roman"/>
          <w:szCs w:val="20"/>
          <w:lang w:val="sr-Cyrl-CS"/>
        </w:rPr>
        <w:t>736</w:t>
      </w:r>
      <w:r w:rsidR="00AC487D">
        <w:rPr>
          <w:rFonts w:ascii="Times New Roman" w:hAnsi="Times New Roman" w:cs="Times New Roman"/>
          <w:szCs w:val="20"/>
        </w:rPr>
        <w:t>/5-1</w:t>
      </w:r>
    </w:p>
    <w:p w:rsidR="007F0A82" w:rsidRPr="004373A6" w:rsidRDefault="00593134" w:rsidP="004373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4373A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A5641F">
        <w:rPr>
          <w:rFonts w:ascii="Times New Roman" w:hAnsi="Times New Roman" w:cs="Times New Roman"/>
          <w:color w:val="000000"/>
          <w:szCs w:val="20"/>
          <w:lang w:val="sr-Latn-CS"/>
        </w:rPr>
        <w:t>1</w:t>
      </w:r>
      <w:r w:rsidR="00A5641F">
        <w:rPr>
          <w:rFonts w:ascii="Times New Roman" w:hAnsi="Times New Roman" w:cs="Times New Roman"/>
          <w:color w:val="000000"/>
          <w:szCs w:val="20"/>
          <w:lang w:val="sr-Cyrl-CS"/>
        </w:rPr>
        <w:t>7</w:t>
      </w:r>
      <w:r w:rsidR="000207A5">
        <w:rPr>
          <w:rFonts w:ascii="Times New Roman" w:hAnsi="Times New Roman" w:cs="Times New Roman"/>
          <w:color w:val="000000"/>
          <w:szCs w:val="20"/>
          <w:lang w:val="sr-Latn-CS"/>
        </w:rPr>
        <w:t>.11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>.2017.</w:t>
      </w:r>
      <w:r w:rsidR="004373A6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0F1559" w:rsidRPr="00872266" w:rsidRDefault="000F1559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313E39" w:rsidRDefault="007F0A82" w:rsidP="00A5641F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На основу чл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a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на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63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="00551E82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551E82" w:rsidRPr="00872266">
        <w:rPr>
          <w:rFonts w:ascii="Times New Roman" w:hAnsi="Times New Roman" w:cs="Times New Roman"/>
          <w:color w:val="000000"/>
          <w:szCs w:val="20"/>
          <w:lang w:val="sr-Cyrl-RS"/>
        </w:rPr>
        <w:t>став 2</w:t>
      </w:r>
      <w:r w:rsidR="00426BF7" w:rsidRPr="00872266">
        <w:rPr>
          <w:rFonts w:ascii="Times New Roman" w:hAnsi="Times New Roman" w:cs="Times New Roman"/>
          <w:color w:val="000000"/>
          <w:szCs w:val="20"/>
        </w:rPr>
        <w:t>.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,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14/15 и 68/15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),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Комисија за јавн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 добара </w:t>
      </w:r>
      <w:r w:rsidR="000207A5">
        <w:rPr>
          <w:rFonts w:ascii="Times New Roman" w:hAnsi="Times New Roman" w:cs="Times New Roman"/>
          <w:color w:val="000000"/>
          <w:szCs w:val="20"/>
        </w:rPr>
        <w:t>-</w:t>
      </w:r>
      <w:r w:rsidR="00A5641F" w:rsidRPr="00A5641F">
        <w:rPr>
          <w:rFonts w:ascii="Times New Roman" w:hAnsi="Times New Roman" w:cs="Times New Roman"/>
          <w:color w:val="000000"/>
          <w:szCs w:val="20"/>
          <w:lang w:val="sr-Cyrl-RS"/>
        </w:rPr>
        <w:t xml:space="preserve"> санитетски потрошни материјал по партијама за период до три месеца</w:t>
      </w:r>
      <w:r w:rsidR="006043FE" w:rsidRPr="00872266">
        <w:rPr>
          <w:rFonts w:ascii="Times New Roman" w:hAnsi="Times New Roman" w:cs="Times New Roman"/>
          <w:color w:val="000000"/>
          <w:szCs w:val="20"/>
          <w:lang w:val="sr-Cyrl-CS"/>
        </w:rPr>
        <w:t>,</w:t>
      </w:r>
      <w:r w:rsidR="006043FE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даје</w:t>
      </w:r>
    </w:p>
    <w:p w:rsidR="00872266" w:rsidRPr="004373A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E77F8" w:rsidRPr="00872266" w:rsidRDefault="00DE77F8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Default="00771FA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872266" w:rsidRPr="00872266" w:rsidRDefault="00872266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26671F" w:rsidRPr="00872266" w:rsidRDefault="00123D5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e</w:t>
      </w:r>
      <w:r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je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тражил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додатн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појашњења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предметн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јавн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02290B"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у виду следећ</w:t>
      </w:r>
      <w:r w:rsidR="00426BF7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ег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питања</w:t>
      </w:r>
      <w:r w:rsidR="007F0A82"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9C48B5" w:rsidRPr="00872266" w:rsidRDefault="009C48B5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</w:rPr>
      </w:pPr>
    </w:p>
    <w:p w:rsidR="000207A5" w:rsidRDefault="000207A5" w:rsidP="000207A5">
      <w:pPr>
        <w:spacing w:line="276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i/>
          <w:szCs w:val="20"/>
          <w:lang w:val="sr-Cyrl-RS"/>
        </w:rPr>
        <w:t xml:space="preserve">Питање </w:t>
      </w:r>
      <w:r w:rsidR="004724AA"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>1.</w:t>
      </w:r>
      <w:r w:rsidR="004724AA" w:rsidRPr="00872266">
        <w:rPr>
          <w:rFonts w:ascii="Times New Roman" w:eastAsia="Times New Roman" w:hAnsi="Times New Roman" w:cs="Times New Roman"/>
          <w:szCs w:val="20"/>
          <w:lang w:val="sr-Cyrl-RS"/>
        </w:rPr>
        <w:t xml:space="preserve"> 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М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олимо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Вас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издвојите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следеће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посебну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: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3-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6,7,8 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4-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2,3 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Наручилац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може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конкурсној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документацији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укључи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било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одредбу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последицу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имала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давање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предности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или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елиминацију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појединих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начин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из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или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наведеног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члана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.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Члан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ЗЈН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обавезује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наручиоца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поступку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омогући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што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могуће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већу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конкуренцију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.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Истим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чланом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: „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Наручилац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може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ограничава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конкуренцију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посебно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може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онемогућавати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било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којег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учествује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поступку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неоправданим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додавањем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само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један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или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врло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мали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број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може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понуди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нити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коришћењем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дискриминаторских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услова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техничких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спецификација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критеријума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“.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тај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начин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поскупљује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сама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набавка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добара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што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није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складу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трошењем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буџетских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средстава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Циљ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отвореног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поступка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јавне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набавке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јесте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постигну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значајне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уштеде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трошењу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буџетских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средстава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.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Јасно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наручиоци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припремају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техничку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спецификацију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складу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својим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потребама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али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ипак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морају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поштовати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закон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јавним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набавкама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једно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од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њихових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основних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начела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члан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Начело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обезбеђивања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конкуренције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једнакости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.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Уколико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постоји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потреба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Вашој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установи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наведеним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ставкама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поставља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питање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зашто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нису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обликоване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посебне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постоји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врло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ограничена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конкуренција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чиме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директно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нарушило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начело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обезбеђивана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конкуренције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ЗЈН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као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једнак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положај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понуђачима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складу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чл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. 12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ЗЈН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. 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Такође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морамо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напоменемо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Наручилац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може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злоупотреби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формирање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предмета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јавне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набавке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тако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што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ће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набавци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предмета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постоји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отворена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конкуренција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тржишту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прикључи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нешто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шта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одређени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има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искључиво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право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уместо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тај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предмет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постоји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искључиво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право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набавља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посебно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одређеним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понуђачем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кроз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засебну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начин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како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обликована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3,4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омогућено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само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један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поднесе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исправну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понуду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иако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3,4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обухвата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постоји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отворена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конкуренција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.</w:t>
      </w:r>
    </w:p>
    <w:p w:rsidR="009A3291" w:rsidRPr="009A3291" w:rsidRDefault="009A3291" w:rsidP="009A3291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</w:p>
    <w:p w:rsidR="00426BF7" w:rsidRPr="009A3291" w:rsidRDefault="009A3291" w:rsidP="009A3291">
      <w:pPr>
        <w:spacing w:line="276" w:lineRule="auto"/>
        <w:rPr>
          <w:rFonts w:ascii="Times New Roman" w:hAnsi="Times New Roman" w:cs="Times New Roman"/>
          <w:b/>
          <w:i/>
          <w:color w:val="000000"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Уколико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имате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искључиву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потребу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напред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наведеним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добрима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молимо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Вас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их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издвојите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засебне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тиме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нарушавате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транспарентност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целог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поступка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омогућите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учешће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већег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броја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понуђача</w:t>
      </w:r>
      <w:r w:rsidRPr="009A3291">
        <w:rPr>
          <w:rFonts w:ascii="Times New Roman" w:eastAsia="Times New Roman" w:hAnsi="Times New Roman" w:cs="Times New Roman"/>
          <w:noProof/>
          <w:szCs w:val="20"/>
          <w:lang w:val="sr-Cyrl-CS"/>
        </w:rPr>
        <w:t>.</w:t>
      </w:r>
    </w:p>
    <w:p w:rsidR="009A3291" w:rsidRPr="009A3291" w:rsidRDefault="001A12C7" w:rsidP="009A3291">
      <w:pPr>
        <w:spacing w:line="276" w:lineRule="auto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i/>
          <w:noProof/>
          <w:color w:val="000000"/>
          <w:szCs w:val="20"/>
          <w:lang w:val="sr-Cyrl-RS"/>
        </w:rPr>
        <w:lastRenderedPageBreak/>
        <w:t>Одговор</w:t>
      </w:r>
      <w:r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>:</w:t>
      </w:r>
      <w:r w:rsidR="000207A5"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Како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наручилац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својој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конкурсној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документацији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није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поставио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услов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да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поступку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јавне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набавке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могу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учествовати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искључиво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носиоци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дозволе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већ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понуђачи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овлашћењем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носиоца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дозволе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самим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тим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омогућен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неограничен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број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понуђача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.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Како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циљ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сваке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јавне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набавке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да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Наручилац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изабере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понуду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која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ће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најбољи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начин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задовољити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његове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потребе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свим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својствима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као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квалитетом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тако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техничке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спецификације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одређује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према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својим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потребама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према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потребама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сваког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потенцијалног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понуђача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.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Сходно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томе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обавеза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обезбеђења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што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могуће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веће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конкуренције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може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тумачити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начин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који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подразумева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обавезу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наручиоца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да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сваком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заинетерсованом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лицу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омогући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учешће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поступку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јавне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набавке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јер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последица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таквог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омогућавања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што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могуће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веће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конкуренције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би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била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да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захтеви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из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конкурсне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докуменатције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често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би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одговарали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реалним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потребама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наручиоца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већ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би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одражавали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економске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интересе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понуђача</w:t>
      </w:r>
      <w:r w:rsidR="009A3291"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>.</w:t>
      </w:r>
    </w:p>
    <w:p w:rsidR="000207A5" w:rsidRPr="009A3291" w:rsidRDefault="009A3291" w:rsidP="009A3291">
      <w:pPr>
        <w:spacing w:line="276" w:lineRule="auto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Из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тих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разлога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наручилац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остаје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при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првобитно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дефинисаној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спецификацији</w:t>
      </w:r>
      <w:r w:rsidRPr="009A329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.  </w:t>
      </w:r>
    </w:p>
    <w:p w:rsidR="000207A5" w:rsidRDefault="000207A5" w:rsidP="000207A5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i/>
          <w:szCs w:val="20"/>
          <w:lang w:val="sr-Cyrl-RS"/>
        </w:rPr>
        <w:t>Питање 2</w:t>
      </w:r>
      <w:r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>.</w:t>
      </w:r>
      <w:r w:rsidRPr="00872266">
        <w:rPr>
          <w:rFonts w:ascii="Times New Roman" w:eastAsia="Times New Roman" w:hAnsi="Times New Roman" w:cs="Times New Roman"/>
          <w:szCs w:val="20"/>
          <w:lang w:val="sr-Cyrl-RS"/>
        </w:rPr>
        <w:t xml:space="preserve"> </w:t>
      </w:r>
    </w:p>
    <w:p w:rsidR="00A5641F" w:rsidRPr="00A5641F" w:rsidRDefault="00A5641F" w:rsidP="00A5641F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Питање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везано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партију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1,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3: </w:t>
      </w:r>
    </w:p>
    <w:p w:rsidR="00A5641F" w:rsidRPr="00A5641F" w:rsidRDefault="00A5641F" w:rsidP="00A5641F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</w:p>
    <w:p w:rsidR="00A5641F" w:rsidRPr="00A5641F" w:rsidRDefault="00A5641F" w:rsidP="00A5641F">
      <w:pPr>
        <w:spacing w:line="276" w:lineRule="auto"/>
        <w:rPr>
          <w:rFonts w:ascii="Times New Roman" w:eastAsia="Times New Roman" w:hAnsi="Times New Roman" w:cs="Times New Roman"/>
          <w:noProof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број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3,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неталкиране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лате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x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рукавице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>,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минималне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дузине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295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мм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карактеристикама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стриктно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наведених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дебљина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: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прсти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0.33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мм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длан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0.32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мм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без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икаквих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одступања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или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варијација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 w:rsidR="00DE1832">
        <w:rPr>
          <w:rFonts w:ascii="Times New Roman" w:eastAsia="Times New Roman" w:hAnsi="Times New Roman" w:cs="Times New Roman"/>
          <w:noProof/>
          <w:szCs w:val="20"/>
          <w:lang w:val="sr-Cyrl-CS"/>
        </w:rPr>
        <w:t>ш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то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указује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могуцност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само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један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 w:rsidR="00DE1832">
        <w:rPr>
          <w:rFonts w:ascii="Times New Roman" w:eastAsia="Times New Roman" w:hAnsi="Times New Roman" w:cs="Times New Roman"/>
          <w:noProof/>
          <w:szCs w:val="20"/>
          <w:lang w:val="sr-Cyrl-CS"/>
        </w:rPr>
        <w:t>понуђач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понуди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рукавице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тог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типа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 w:rsidR="00DE1832">
        <w:rPr>
          <w:rFonts w:ascii="Times New Roman" w:eastAsia="Times New Roman" w:hAnsi="Times New Roman" w:cs="Times New Roman"/>
          <w:noProof/>
          <w:szCs w:val="20"/>
          <w:lang w:val="sr-Cyrl-CS"/>
        </w:rPr>
        <w:t>траже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ним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карактеристикама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које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су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>,</w:t>
      </w:r>
      <w:r w:rsidR="00DE1832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 w:rsidR="00DE1832">
        <w:rPr>
          <w:rFonts w:ascii="Times New Roman" w:eastAsia="Times New Roman" w:hAnsi="Times New Roman" w:cs="Times New Roman"/>
          <w:noProof/>
          <w:szCs w:val="20"/>
          <w:lang w:val="sr-Cyrl-CS"/>
        </w:rPr>
        <w:t>виш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него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прецизно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наведене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>.</w:t>
      </w:r>
    </w:p>
    <w:p w:rsidR="008E5D7F" w:rsidRPr="00A5641F" w:rsidRDefault="00A5641F" w:rsidP="00A5641F">
      <w:pPr>
        <w:spacing w:line="276" w:lineRule="auto"/>
        <w:rPr>
          <w:rFonts w:ascii="Times New Roman" w:eastAsia="Times New Roman" w:hAnsi="Times New Roman" w:cs="Times New Roman"/>
          <w:szCs w:val="20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Питање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гласи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ли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дате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дебљине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рукавица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: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прсти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0.33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мм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длан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0.32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мм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изразавају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једноструко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или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двоструко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мерење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дебљине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рукавица</w:t>
      </w:r>
      <w:r w:rsidRPr="00A5641F">
        <w:rPr>
          <w:rFonts w:ascii="Times New Roman" w:eastAsia="Times New Roman" w:hAnsi="Times New Roman" w:cs="Times New Roman"/>
          <w:noProof/>
          <w:szCs w:val="20"/>
          <w:lang w:val="sr-Cyrl-CS"/>
        </w:rPr>
        <w:t>?</w:t>
      </w:r>
    </w:p>
    <w:p w:rsidR="000207A5" w:rsidRPr="00872266" w:rsidRDefault="000207A5" w:rsidP="000207A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</w:rPr>
      </w:pPr>
    </w:p>
    <w:p w:rsidR="000207A5" w:rsidRPr="00A5641F" w:rsidRDefault="000207A5" w:rsidP="00872266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i/>
          <w:noProof/>
          <w:color w:val="000000"/>
          <w:szCs w:val="20"/>
          <w:lang w:val="sr-Cyrl-RS"/>
        </w:rPr>
        <w:t>Одговор</w:t>
      </w:r>
      <w:r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>:</w:t>
      </w:r>
      <w:r w:rsidR="00A5641F" w:rsidRPr="00A5641F">
        <w:t xml:space="preserve"> 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Д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ате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дебљине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рукавица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: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прсти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0.33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мм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длан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0.32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мм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изражавају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једноструко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мерење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дебљине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рукавица</w:t>
      </w:r>
      <w:r w:rsidR="00A5641F" w:rsidRPr="00A5641F">
        <w:rPr>
          <w:rFonts w:ascii="Times New Roman" w:hAnsi="Times New Roman" w:cs="Times New Roman"/>
          <w:noProof/>
          <w:color w:val="000000"/>
          <w:szCs w:val="20"/>
          <w:lang w:val="sr-Cyrl-CS"/>
        </w:rPr>
        <w:t>.</w:t>
      </w:r>
    </w:p>
    <w:p w:rsidR="00875B49" w:rsidRPr="00872266" w:rsidRDefault="00875B49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872266" w:rsidRDefault="00D737A2" w:rsidP="0087226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872266" w:rsidRDefault="009B396D" w:rsidP="00872266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ОП </w:t>
      </w:r>
      <w:r w:rsidR="00A5641F">
        <w:rPr>
          <w:rFonts w:ascii="Times New Roman" w:hAnsi="Times New Roman" w:cs="Times New Roman"/>
          <w:color w:val="000000"/>
          <w:szCs w:val="20"/>
          <w:lang w:val="sr-Cyrl-CS"/>
        </w:rPr>
        <w:t>72</w:t>
      </w:r>
      <w:r w:rsidR="0038643F" w:rsidRPr="00872266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872266">
        <w:rPr>
          <w:rFonts w:ascii="Times New Roman" w:hAnsi="Times New Roman" w:cs="Times New Roman"/>
          <w:color w:val="000000"/>
          <w:szCs w:val="20"/>
          <w:lang w:val="sr-Cyrl-CS"/>
        </w:rPr>
        <w:t>7</w:t>
      </w:r>
      <w:r w:rsidR="00BC3888" w:rsidRPr="00872266">
        <w:rPr>
          <w:rFonts w:ascii="Times New Roman" w:hAnsi="Times New Roman" w:cs="Times New Roman"/>
          <w:szCs w:val="20"/>
          <w:lang w:val="sr-Cyrl-CS"/>
        </w:rPr>
        <w:t xml:space="preserve">                             </w:t>
      </w:r>
    </w:p>
    <w:sectPr w:rsidR="001A390D" w:rsidRPr="00872266" w:rsidSect="00872266">
      <w:headerReference w:type="first" r:id="rId9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15" w:rsidRDefault="007B0115" w:rsidP="002A4B9D">
      <w:r>
        <w:separator/>
      </w:r>
    </w:p>
  </w:endnote>
  <w:endnote w:type="continuationSeparator" w:id="0">
    <w:p w:rsidR="007B0115" w:rsidRDefault="007B0115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15" w:rsidRDefault="007B0115" w:rsidP="002A4B9D">
      <w:r>
        <w:separator/>
      </w:r>
    </w:p>
  </w:footnote>
  <w:footnote w:type="continuationSeparator" w:id="0">
    <w:p w:rsidR="007B0115" w:rsidRDefault="007B0115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91" w:rsidRDefault="009A3291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EABB56" wp14:editId="6321C8ED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07A5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79CF"/>
    <w:rsid w:val="000E55D6"/>
    <w:rsid w:val="000F1559"/>
    <w:rsid w:val="000F1E7A"/>
    <w:rsid w:val="00121AA2"/>
    <w:rsid w:val="00123D54"/>
    <w:rsid w:val="001260B7"/>
    <w:rsid w:val="001309B1"/>
    <w:rsid w:val="001313B8"/>
    <w:rsid w:val="00135BAF"/>
    <w:rsid w:val="00140873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4E2D"/>
    <w:rsid w:val="00221268"/>
    <w:rsid w:val="00223275"/>
    <w:rsid w:val="0022554A"/>
    <w:rsid w:val="00241C14"/>
    <w:rsid w:val="00252357"/>
    <w:rsid w:val="0026671F"/>
    <w:rsid w:val="00277678"/>
    <w:rsid w:val="0028028F"/>
    <w:rsid w:val="0029230D"/>
    <w:rsid w:val="002A4B9D"/>
    <w:rsid w:val="002B27E8"/>
    <w:rsid w:val="002C556A"/>
    <w:rsid w:val="002D1169"/>
    <w:rsid w:val="002E311F"/>
    <w:rsid w:val="00313E39"/>
    <w:rsid w:val="003210D5"/>
    <w:rsid w:val="003211CA"/>
    <w:rsid w:val="003277FB"/>
    <w:rsid w:val="003426A6"/>
    <w:rsid w:val="003726B7"/>
    <w:rsid w:val="0038643F"/>
    <w:rsid w:val="004037E8"/>
    <w:rsid w:val="00413B1B"/>
    <w:rsid w:val="004176EF"/>
    <w:rsid w:val="00426BF7"/>
    <w:rsid w:val="004335F6"/>
    <w:rsid w:val="004373A6"/>
    <w:rsid w:val="0044465D"/>
    <w:rsid w:val="00460DC3"/>
    <w:rsid w:val="004724AA"/>
    <w:rsid w:val="00491D4D"/>
    <w:rsid w:val="004962EE"/>
    <w:rsid w:val="004A22A1"/>
    <w:rsid w:val="004B2C35"/>
    <w:rsid w:val="004B49E6"/>
    <w:rsid w:val="004E00A6"/>
    <w:rsid w:val="004E5C49"/>
    <w:rsid w:val="004E6FAD"/>
    <w:rsid w:val="004F061D"/>
    <w:rsid w:val="004F5D9A"/>
    <w:rsid w:val="00500E8D"/>
    <w:rsid w:val="005120F2"/>
    <w:rsid w:val="00520A1F"/>
    <w:rsid w:val="0054202C"/>
    <w:rsid w:val="00542F4D"/>
    <w:rsid w:val="00547C31"/>
    <w:rsid w:val="00551E82"/>
    <w:rsid w:val="00552CC8"/>
    <w:rsid w:val="00564E10"/>
    <w:rsid w:val="00593134"/>
    <w:rsid w:val="005A1919"/>
    <w:rsid w:val="005A7B21"/>
    <w:rsid w:val="005B7DB4"/>
    <w:rsid w:val="006043FE"/>
    <w:rsid w:val="00630BE5"/>
    <w:rsid w:val="00653642"/>
    <w:rsid w:val="006603A6"/>
    <w:rsid w:val="00681DFD"/>
    <w:rsid w:val="006825F5"/>
    <w:rsid w:val="00682F1C"/>
    <w:rsid w:val="00683A4A"/>
    <w:rsid w:val="00691FDB"/>
    <w:rsid w:val="006B0C27"/>
    <w:rsid w:val="006E1C82"/>
    <w:rsid w:val="006E6DEC"/>
    <w:rsid w:val="00727A11"/>
    <w:rsid w:val="00737751"/>
    <w:rsid w:val="007466DF"/>
    <w:rsid w:val="00747543"/>
    <w:rsid w:val="007523ED"/>
    <w:rsid w:val="0076725A"/>
    <w:rsid w:val="00771FA4"/>
    <w:rsid w:val="00782659"/>
    <w:rsid w:val="00787B12"/>
    <w:rsid w:val="007970A7"/>
    <w:rsid w:val="00797645"/>
    <w:rsid w:val="007A447A"/>
    <w:rsid w:val="007B0115"/>
    <w:rsid w:val="007C0E70"/>
    <w:rsid w:val="007C7C62"/>
    <w:rsid w:val="007C7D04"/>
    <w:rsid w:val="007D4953"/>
    <w:rsid w:val="007D7410"/>
    <w:rsid w:val="007E242F"/>
    <w:rsid w:val="007F0A82"/>
    <w:rsid w:val="00804136"/>
    <w:rsid w:val="0083453C"/>
    <w:rsid w:val="008666A8"/>
    <w:rsid w:val="008669A1"/>
    <w:rsid w:val="00872266"/>
    <w:rsid w:val="00873102"/>
    <w:rsid w:val="00875B49"/>
    <w:rsid w:val="00880CF5"/>
    <w:rsid w:val="008970FA"/>
    <w:rsid w:val="00897D37"/>
    <w:rsid w:val="008A0751"/>
    <w:rsid w:val="008A2E24"/>
    <w:rsid w:val="008B74B0"/>
    <w:rsid w:val="008C2A40"/>
    <w:rsid w:val="008C6C2C"/>
    <w:rsid w:val="008E5D7F"/>
    <w:rsid w:val="00901DF9"/>
    <w:rsid w:val="0096271F"/>
    <w:rsid w:val="009911AC"/>
    <w:rsid w:val="009966C4"/>
    <w:rsid w:val="00996A54"/>
    <w:rsid w:val="009A041C"/>
    <w:rsid w:val="009A3291"/>
    <w:rsid w:val="009A3887"/>
    <w:rsid w:val="009B198F"/>
    <w:rsid w:val="009B2086"/>
    <w:rsid w:val="009B396D"/>
    <w:rsid w:val="009B5372"/>
    <w:rsid w:val="009C28BE"/>
    <w:rsid w:val="009C48B5"/>
    <w:rsid w:val="009C6278"/>
    <w:rsid w:val="00A010B2"/>
    <w:rsid w:val="00A521A7"/>
    <w:rsid w:val="00A553BD"/>
    <w:rsid w:val="00A5641F"/>
    <w:rsid w:val="00A65CAA"/>
    <w:rsid w:val="00A76D76"/>
    <w:rsid w:val="00A82E81"/>
    <w:rsid w:val="00AA485A"/>
    <w:rsid w:val="00AA4A39"/>
    <w:rsid w:val="00AB2EC5"/>
    <w:rsid w:val="00AB7975"/>
    <w:rsid w:val="00AC2021"/>
    <w:rsid w:val="00AC39AA"/>
    <w:rsid w:val="00AC487D"/>
    <w:rsid w:val="00AD02CB"/>
    <w:rsid w:val="00AD31AD"/>
    <w:rsid w:val="00AF4BD1"/>
    <w:rsid w:val="00AF5429"/>
    <w:rsid w:val="00B15C7C"/>
    <w:rsid w:val="00B25B9B"/>
    <w:rsid w:val="00B464D5"/>
    <w:rsid w:val="00B73013"/>
    <w:rsid w:val="00BB103D"/>
    <w:rsid w:val="00BC3888"/>
    <w:rsid w:val="00BC6D88"/>
    <w:rsid w:val="00BF1C5D"/>
    <w:rsid w:val="00BF39C1"/>
    <w:rsid w:val="00C01831"/>
    <w:rsid w:val="00C109A4"/>
    <w:rsid w:val="00C127AA"/>
    <w:rsid w:val="00C136A8"/>
    <w:rsid w:val="00C359D4"/>
    <w:rsid w:val="00C635B2"/>
    <w:rsid w:val="00C72715"/>
    <w:rsid w:val="00C85F11"/>
    <w:rsid w:val="00C909AC"/>
    <w:rsid w:val="00CC6714"/>
    <w:rsid w:val="00CC6C3A"/>
    <w:rsid w:val="00CF043D"/>
    <w:rsid w:val="00CF6A7E"/>
    <w:rsid w:val="00D01EB1"/>
    <w:rsid w:val="00D06330"/>
    <w:rsid w:val="00D45BA9"/>
    <w:rsid w:val="00D50020"/>
    <w:rsid w:val="00D706B4"/>
    <w:rsid w:val="00D728F1"/>
    <w:rsid w:val="00D737A2"/>
    <w:rsid w:val="00D959BA"/>
    <w:rsid w:val="00D95C73"/>
    <w:rsid w:val="00DB55D6"/>
    <w:rsid w:val="00DC3B43"/>
    <w:rsid w:val="00DE1832"/>
    <w:rsid w:val="00DE77F8"/>
    <w:rsid w:val="00DF6759"/>
    <w:rsid w:val="00DF7002"/>
    <w:rsid w:val="00E07C11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49BF"/>
    <w:rsid w:val="00F15F3A"/>
    <w:rsid w:val="00F22640"/>
    <w:rsid w:val="00F37F2A"/>
    <w:rsid w:val="00F52A03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ECE0-66FA-444E-9EE4-CC22BB3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2017-11-16T13:07:00Z</cp:lastPrinted>
  <dcterms:created xsi:type="dcterms:W3CDTF">2017-11-17T11:22:00Z</dcterms:created>
  <dcterms:modified xsi:type="dcterms:W3CDTF">2017-11-17T11:22:00Z</dcterms:modified>
</cp:coreProperties>
</file>