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CE3CEC" w:rsidRDefault="00FE449D" w:rsidP="00791321">
      <w:pPr>
        <w:spacing w:line="276" w:lineRule="auto"/>
        <w:jc w:val="right"/>
        <w:rPr>
          <w:rFonts w:ascii="Times New Roman" w:hAnsi="Times New Roman" w:cs="Times New Roman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791321">
        <w:rPr>
          <w:rFonts w:ascii="Times New Roman" w:hAnsi="Times New Roman" w:cs="Times New Roman"/>
          <w:szCs w:val="20"/>
          <w:lang w:val="sr-Cyrl-CS"/>
        </w:rPr>
        <w:t>7331</w:t>
      </w:r>
      <w:r w:rsidR="00872266">
        <w:rPr>
          <w:rFonts w:ascii="Times New Roman" w:hAnsi="Times New Roman" w:cs="Times New Roman"/>
          <w:szCs w:val="20"/>
        </w:rPr>
        <w:t>/</w:t>
      </w:r>
      <w:r w:rsidR="00EE576B" w:rsidRPr="00872266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72266">
        <w:rPr>
          <w:rFonts w:ascii="Times New Roman" w:hAnsi="Times New Roman" w:cs="Times New Roman"/>
          <w:szCs w:val="20"/>
        </w:rPr>
        <w:t>-</w:t>
      </w:r>
      <w:r w:rsidR="00CE3CEC">
        <w:rPr>
          <w:rFonts w:ascii="Times New Roman" w:hAnsi="Times New Roman" w:cs="Times New Roman"/>
          <w:szCs w:val="20"/>
          <w:lang w:val="sr-Cyrl-CS"/>
        </w:rPr>
        <w:t>3</w:t>
      </w:r>
    </w:p>
    <w:p w:rsidR="007F0A82" w:rsidRPr="00872266" w:rsidRDefault="00593134" w:rsidP="0079132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CE3CEC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.12.2018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color w:val="000000"/>
          <w:szCs w:val="20"/>
          <w:lang w:val="sr-Cyrl-RS"/>
        </w:rPr>
        <w:t>године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</w:t>
      </w:r>
      <w:r w:rsidR="009968B5">
        <w:rPr>
          <w:rFonts w:ascii="Times New Roman" w:hAnsi="Times New Roman" w:cs="Times New Roman"/>
          <w:color w:val="000000"/>
          <w:szCs w:val="20"/>
          <w:lang w:val="sr-Cyrl-RS"/>
        </w:rPr>
        <w:t>услуга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9968B5" w:rsidRPr="009968B5">
        <w:t xml:space="preserve"> </w:t>
      </w:r>
      <w:r w:rsidR="009968B5" w:rsidRPr="009968B5">
        <w:rPr>
          <w:rFonts w:ascii="Times New Roman" w:hAnsi="Times New Roman" w:cs="Times New Roman"/>
        </w:rPr>
        <w:t>Услуге мобилне телефоније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872266" w:rsidRP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4F67F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у виду 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следећ</w:t>
      </w:r>
      <w:r w:rsidR="00426BF7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ег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питања</w:t>
      </w:r>
      <w:r w:rsidR="007F0A82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: </w:t>
      </w:r>
    </w:p>
    <w:p w:rsidR="009C48B5" w:rsidRPr="004F67F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вези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припремом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24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/18  </w:t>
      </w:r>
      <w:r>
        <w:rPr>
          <w:rFonts w:ascii="Times New Roman" w:hAnsi="Times New Roman" w:cs="Times New Roman"/>
          <w:noProof/>
          <w:szCs w:val="20"/>
          <w:lang w:val="sr-Cyrl-CS"/>
        </w:rPr>
        <w:t>услуге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Cs w:val="20"/>
          <w:lang w:val="sr-Cyrl-CS"/>
        </w:rPr>
        <w:t>Услуге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мобилне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телефоније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Клиничко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болнички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центар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"</w:t>
      </w:r>
      <w:r>
        <w:rPr>
          <w:rFonts w:ascii="Times New Roman" w:hAnsi="Times New Roman" w:cs="Times New Roman"/>
          <w:noProof/>
          <w:szCs w:val="20"/>
          <w:lang w:val="sr-Cyrl-CS"/>
        </w:rPr>
        <w:t>Бежанијска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коса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" -  </w:t>
      </w:r>
      <w:r>
        <w:rPr>
          <w:rFonts w:ascii="Times New Roman" w:hAnsi="Times New Roman" w:cs="Times New Roman"/>
          <w:noProof/>
          <w:szCs w:val="20"/>
          <w:lang w:val="sr-Cyrl-CS"/>
        </w:rPr>
        <w:t>Београд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неопходне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додатне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информације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појашњења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: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 xml:space="preserve">Питање 1.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основу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одредбе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стране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18 </w:t>
      </w:r>
      <w:r>
        <w:rPr>
          <w:rFonts w:ascii="Times New Roman" w:hAnsi="Times New Roman" w:cs="Times New Roman"/>
          <w:noProof/>
          <w:szCs w:val="20"/>
          <w:lang w:val="sr-Cyrl-CS"/>
        </w:rPr>
        <w:t>КД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јасно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парафира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ставља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печат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стране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којима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предвидео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место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печат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потпис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? </w:t>
      </w:r>
      <w:r>
        <w:rPr>
          <w:rFonts w:ascii="Times New Roman" w:hAnsi="Times New Roman" w:cs="Times New Roman"/>
          <w:noProof/>
          <w:szCs w:val="20"/>
          <w:lang w:val="sr-Cyrl-CS"/>
        </w:rPr>
        <w:t>Уколико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одговор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разлог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?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П</w:t>
      </w:r>
      <w:r>
        <w:rPr>
          <w:rFonts w:ascii="Times New Roman" w:hAnsi="Times New Roman" w:cs="Times New Roman"/>
          <w:noProof/>
          <w:szCs w:val="20"/>
          <w:lang w:val="sr-Cyrl-CS"/>
        </w:rPr>
        <w:t>онуђач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парафира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ставља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печат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само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стране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којима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је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предвидео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место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печат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потпис</w:t>
      </w:r>
      <w:r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2.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заглављу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тексту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изабрани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добављач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крају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месту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потпис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продавац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усклади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</w:t>
      </w:r>
      <w:r w:rsidRPr="00CE3CEC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Прихвата се сугестија, ускладићемо.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3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меница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добро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извршење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посла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треба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буде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износ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10% </w:t>
      </w:r>
      <w:r>
        <w:rPr>
          <w:rFonts w:ascii="Times New Roman" w:hAnsi="Times New Roman" w:cs="Times New Roman"/>
          <w:noProof/>
          <w:szCs w:val="20"/>
          <w:lang w:val="sr-Cyrl-CS"/>
        </w:rPr>
        <w:t>вредности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без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ПДВ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Cs w:val="20"/>
          <w:lang w:val="sr-Cyrl-CS"/>
        </w:rPr>
        <w:t>како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ПДВ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ом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Cs w:val="20"/>
          <w:lang w:val="sr-Cyrl-CS"/>
        </w:rPr>
        <w:t>како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Моделу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)?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</w:t>
      </w:r>
      <w:r>
        <w:rPr>
          <w:rFonts w:ascii="Times New Roman" w:hAnsi="Times New Roman" w:cs="Times New Roman"/>
          <w:noProof/>
          <w:szCs w:val="20"/>
          <w:lang w:val="sr-Cyrl-CS"/>
        </w:rPr>
        <w:t>еница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добро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извршење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посла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треба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буде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износ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10% </w:t>
      </w:r>
      <w:r>
        <w:rPr>
          <w:rFonts w:ascii="Times New Roman" w:hAnsi="Times New Roman" w:cs="Times New Roman"/>
          <w:noProof/>
          <w:szCs w:val="20"/>
          <w:lang w:val="sr-Cyrl-CS"/>
        </w:rPr>
        <w:t>вредности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без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ПДВ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4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појашњење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Изјава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поштовању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члан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75. </w:t>
      </w:r>
      <w:r>
        <w:rPr>
          <w:rFonts w:ascii="Times New Roman" w:hAnsi="Times New Roman" w:cs="Times New Roman"/>
          <w:noProof/>
          <w:szCs w:val="20"/>
          <w:lang w:val="sr-Cyrl-CS"/>
        </w:rPr>
        <w:t>став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 </w:t>
      </w:r>
      <w:r>
        <w:rPr>
          <w:rFonts w:ascii="Times New Roman" w:hAnsi="Times New Roman" w:cs="Times New Roman"/>
          <w:noProof/>
          <w:szCs w:val="20"/>
          <w:lang w:val="sr-Cyrl-CS"/>
        </w:rPr>
        <w:t>ЗЈН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саставни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2, </w:t>
      </w:r>
      <w:r>
        <w:rPr>
          <w:rFonts w:ascii="Times New Roman" w:hAnsi="Times New Roman" w:cs="Times New Roman"/>
          <w:noProof/>
          <w:szCs w:val="20"/>
          <w:lang w:val="sr-Cyrl-CS"/>
        </w:rPr>
        <w:t>с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обзиром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упутству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страни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20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21 </w:t>
      </w:r>
      <w:r>
        <w:rPr>
          <w:rFonts w:ascii="Times New Roman" w:hAnsi="Times New Roman" w:cs="Times New Roman"/>
          <w:noProof/>
          <w:szCs w:val="20"/>
          <w:lang w:val="sr-Cyrl-CS"/>
        </w:rPr>
        <w:t>помиње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2.</w:t>
      </w:r>
    </w:p>
    <w:p w:rsidR="00CE3CEC" w:rsidRDefault="00CE3CEC" w:rsidP="00CE3CEC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</w:t>
      </w:r>
      <w:r w:rsidR="00C2047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Наручилац ће прихватити понуду у којој</w:t>
      </w:r>
      <w:r w:rsidRPr="00CE3CEC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је </w:t>
      </w:r>
      <w:r>
        <w:rPr>
          <w:rFonts w:ascii="Times New Roman" w:hAnsi="Times New Roman" w:cs="Times New Roman"/>
          <w:noProof/>
          <w:szCs w:val="20"/>
          <w:lang w:val="sr-Cyrl-CS"/>
        </w:rPr>
        <w:t>Изјава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поштовању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члан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75. </w:t>
      </w:r>
      <w:r>
        <w:rPr>
          <w:rFonts w:ascii="Times New Roman" w:hAnsi="Times New Roman" w:cs="Times New Roman"/>
          <w:noProof/>
          <w:szCs w:val="20"/>
          <w:lang w:val="sr-Cyrl-CS"/>
        </w:rPr>
        <w:t>став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 </w:t>
      </w:r>
      <w:r>
        <w:rPr>
          <w:rFonts w:ascii="Times New Roman" w:hAnsi="Times New Roman" w:cs="Times New Roman"/>
          <w:noProof/>
          <w:szCs w:val="20"/>
          <w:lang w:val="sr-Cyrl-CS"/>
        </w:rPr>
        <w:t>ЗЈН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CE3CEC">
        <w:rPr>
          <w:rFonts w:ascii="Times New Roman" w:hAnsi="Times New Roman" w:cs="Times New Roman"/>
          <w:noProof/>
          <w:color w:val="000000"/>
          <w:szCs w:val="20"/>
          <w:lang w:val="sr-Cyrl-CS"/>
        </w:rPr>
        <w:t>буде достављена</w:t>
      </w:r>
      <w:r w:rsidR="00C20471">
        <w:rPr>
          <w:rFonts w:ascii="Times New Roman" w:hAnsi="Times New Roman" w:cs="Times New Roman"/>
          <w:noProof/>
          <w:color w:val="000000"/>
          <w:szCs w:val="20"/>
          <w:lang w:val="sr-Cyrl-CS"/>
        </w:rPr>
        <w:t>, невезано за то у ком је делу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.</w:t>
      </w:r>
      <w:r w:rsidR="00C2047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Наручилац је предвидео могућност да наведена Изјава буде у Делу 1 или у Делу 2</w:t>
      </w:r>
    </w:p>
    <w:p w:rsidR="00CE3CEC" w:rsidRDefault="00CE3CEC" w:rsidP="00CE3CEC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</w:p>
    <w:p w:rsid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5.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Cs w:val="20"/>
          <w:lang w:val="sr-Cyrl-CS"/>
        </w:rPr>
        <w:t>елемента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критеријума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Cs w:val="20"/>
          <w:lang w:val="sr-Cyrl-CS"/>
        </w:rPr>
        <w:t>Контроле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одлазних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долазних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позива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ромингу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носи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максимални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пондера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25,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утврдио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начин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бити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распоређени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пондери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означе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постоји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контроле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одлазних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долазних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позива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ромингу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колико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немају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прецизира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начин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пондерисања.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</w:t>
      </w:r>
      <w:r w:rsidRPr="00CE3CEC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Уколико 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постоји могућност контроле одлазних и долазних позива у ромингу</w:t>
      </w:r>
      <w:r w:rsidR="000D4757">
        <w:rPr>
          <w:rFonts w:ascii="Times New Roman" w:hAnsi="Times New Roman" w:cs="Times New Roman"/>
          <w:noProof/>
          <w:szCs w:val="20"/>
          <w:lang w:val="sr-Cyrl-CS"/>
        </w:rPr>
        <w:t xml:space="preserve"> то носи са собом 25 пондера уколико не постоји 0 пондера</w:t>
      </w:r>
      <w:r w:rsidR="00241D93">
        <w:rPr>
          <w:rFonts w:ascii="Times New Roman" w:hAnsi="Times New Roman" w:cs="Times New Roman"/>
          <w:noProof/>
          <w:szCs w:val="20"/>
          <w:lang w:val="sr-Cyrl-CS"/>
        </w:rPr>
        <w:t>.</w:t>
      </w:r>
      <w:bookmarkStart w:id="0" w:name="_GoBack"/>
      <w:bookmarkEnd w:id="0"/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6.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страни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5.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Конкурсне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документацији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наводите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услуга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пружа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кроз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Cs w:val="20"/>
          <w:lang w:val="sr-Cyrl-CS"/>
        </w:rPr>
        <w:t>препаид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разраде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критеријума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одабир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најповољнијег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моделу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наводите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постпаид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С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обзиром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захтевани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постпаид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коригује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конкурсну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документацију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што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извршити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исправку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9968B5" w:rsidRDefault="009968B5" w:rsidP="00CE3CEC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</w:p>
    <w:p w:rsidR="004F67F6" w:rsidRPr="004F67F6" w:rsidRDefault="000D4757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Дошло је до техничке грешке у куцању али </w:t>
      </w:r>
      <w:r w:rsidR="004F67F6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Наручиоц прихвата сугестију и извршићемо и</w:t>
      </w:r>
      <w:r w:rsidR="00B8361C">
        <w:rPr>
          <w:rFonts w:ascii="Times New Roman" w:hAnsi="Times New Roman" w:cs="Times New Roman"/>
          <w:noProof/>
          <w:color w:val="000000"/>
          <w:szCs w:val="20"/>
          <w:lang w:val="sr-Cyrl-CS"/>
        </w:rPr>
        <w:t>змену</w:t>
      </w:r>
      <w:r w:rsidR="004F67F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конкурсне документације.</w:t>
      </w: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C91431">
        <w:rPr>
          <w:rFonts w:ascii="Times New Roman" w:hAnsi="Times New Roman" w:cs="Times New Roman"/>
          <w:color w:val="000000"/>
          <w:szCs w:val="20"/>
          <w:lang w:val="sr-Cyrl-CS"/>
        </w:rPr>
        <w:t xml:space="preserve">МВ 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24</w:t>
      </w:r>
      <w:r w:rsidR="004F67F6">
        <w:rPr>
          <w:rFonts w:ascii="Times New Roman" w:hAnsi="Times New Roman" w:cs="Times New Roman"/>
          <w:color w:val="000000"/>
          <w:szCs w:val="20"/>
          <w:lang w:val="sr-Cyrl-CS"/>
        </w:rPr>
        <w:t>У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81" w:rsidRDefault="00B65081" w:rsidP="002A4B9D">
      <w:r>
        <w:separator/>
      </w:r>
    </w:p>
  </w:endnote>
  <w:endnote w:type="continuationSeparator" w:id="0">
    <w:p w:rsidR="00B65081" w:rsidRDefault="00B6508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81" w:rsidRDefault="00B65081" w:rsidP="002A4B9D">
      <w:r>
        <w:separator/>
      </w:r>
    </w:p>
  </w:footnote>
  <w:footnote w:type="continuationSeparator" w:id="0">
    <w:p w:rsidR="00B65081" w:rsidRDefault="00B65081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4757"/>
    <w:rsid w:val="000D79CF"/>
    <w:rsid w:val="000E55D6"/>
    <w:rsid w:val="000F1559"/>
    <w:rsid w:val="000F1E7A"/>
    <w:rsid w:val="000F441F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41D93"/>
    <w:rsid w:val="00252357"/>
    <w:rsid w:val="0026671F"/>
    <w:rsid w:val="00277678"/>
    <w:rsid w:val="0028028F"/>
    <w:rsid w:val="0029230D"/>
    <w:rsid w:val="002A4B9D"/>
    <w:rsid w:val="002B2591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391FD8"/>
    <w:rsid w:val="003C7FB9"/>
    <w:rsid w:val="004037E8"/>
    <w:rsid w:val="00413B1B"/>
    <w:rsid w:val="004176EF"/>
    <w:rsid w:val="00426BF7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4F67F6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83A4A"/>
    <w:rsid w:val="00691FDB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1321"/>
    <w:rsid w:val="007970A7"/>
    <w:rsid w:val="00797645"/>
    <w:rsid w:val="007A447A"/>
    <w:rsid w:val="007C7C62"/>
    <w:rsid w:val="007C7D04"/>
    <w:rsid w:val="007D4953"/>
    <w:rsid w:val="007D7410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549F0"/>
    <w:rsid w:val="0096271F"/>
    <w:rsid w:val="009911AC"/>
    <w:rsid w:val="009966C4"/>
    <w:rsid w:val="009968B5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39AA"/>
    <w:rsid w:val="00AD02CB"/>
    <w:rsid w:val="00AD31AD"/>
    <w:rsid w:val="00AF4BD1"/>
    <w:rsid w:val="00AF5429"/>
    <w:rsid w:val="00B15C7C"/>
    <w:rsid w:val="00B25B9B"/>
    <w:rsid w:val="00B464D5"/>
    <w:rsid w:val="00B65081"/>
    <w:rsid w:val="00B73013"/>
    <w:rsid w:val="00B8361C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20471"/>
    <w:rsid w:val="00C359D4"/>
    <w:rsid w:val="00C635B2"/>
    <w:rsid w:val="00C72715"/>
    <w:rsid w:val="00C85F11"/>
    <w:rsid w:val="00C909AC"/>
    <w:rsid w:val="00C91431"/>
    <w:rsid w:val="00CC6714"/>
    <w:rsid w:val="00CC6C3A"/>
    <w:rsid w:val="00CE3CEC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1C1B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650AE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2B4B-4EC4-4F9A-9670-14EA7380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2016-12-14T13:22:00Z</cp:lastPrinted>
  <dcterms:created xsi:type="dcterms:W3CDTF">2018-12-12T09:51:00Z</dcterms:created>
  <dcterms:modified xsi:type="dcterms:W3CDTF">2018-12-12T09:59:00Z</dcterms:modified>
</cp:coreProperties>
</file>