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A1EA4" w:rsidRDefault="00D626E3" w:rsidP="00DF51EF">
      <w:pPr>
        <w:tabs>
          <w:tab w:val="clear" w:pos="1440"/>
        </w:tabs>
        <w:spacing w:before="1200"/>
        <w:ind w:left="7082"/>
        <w:jc w:val="right"/>
        <w:rPr>
          <w:sz w:val="18"/>
          <w:szCs w:val="18"/>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6A1EA4">
        <w:rPr>
          <w:sz w:val="18"/>
          <w:szCs w:val="18"/>
          <w:lang w:val="sr-Cyrl-CS"/>
        </w:rPr>
        <w:t>Број:</w:t>
      </w:r>
      <w:r w:rsidR="00623737" w:rsidRPr="006A1EA4">
        <w:rPr>
          <w:sz w:val="18"/>
          <w:szCs w:val="18"/>
        </w:rPr>
        <w:t xml:space="preserve"> </w:t>
      </w:r>
      <w:r w:rsidR="006A1EA4">
        <w:rPr>
          <w:sz w:val="18"/>
          <w:szCs w:val="18"/>
        </w:rPr>
        <w:t>9858</w:t>
      </w:r>
      <w:r w:rsidR="00A92A02" w:rsidRPr="006A1EA4">
        <w:rPr>
          <w:sz w:val="18"/>
          <w:szCs w:val="18"/>
          <w:lang w:val="sr-Cyrl-CS"/>
        </w:rPr>
        <w:t>/5</w:t>
      </w:r>
    </w:p>
    <w:p w:rsidR="00D626E3" w:rsidRPr="006A1EA4" w:rsidRDefault="00D626E3" w:rsidP="00DF51EF">
      <w:pPr>
        <w:tabs>
          <w:tab w:val="clear" w:pos="1440"/>
        </w:tabs>
        <w:ind w:left="7080"/>
        <w:jc w:val="right"/>
        <w:rPr>
          <w:b/>
          <w:sz w:val="18"/>
          <w:szCs w:val="18"/>
        </w:rPr>
      </w:pPr>
      <w:r w:rsidRPr="006A1EA4">
        <w:rPr>
          <w:sz w:val="18"/>
          <w:szCs w:val="18"/>
          <w:lang w:val="sr-Cyrl-CS"/>
        </w:rPr>
        <w:t>Датум:</w:t>
      </w:r>
      <w:r w:rsidR="00A92A02" w:rsidRPr="006A1EA4">
        <w:rPr>
          <w:color w:val="000000" w:themeColor="text1"/>
          <w:sz w:val="18"/>
          <w:szCs w:val="18"/>
          <w:lang w:val="sr-Cyrl-CS"/>
        </w:rPr>
        <w:t xml:space="preserve"> </w:t>
      </w:r>
      <w:r w:rsidR="006A1EA4">
        <w:rPr>
          <w:color w:val="000000" w:themeColor="text1"/>
          <w:sz w:val="18"/>
          <w:szCs w:val="18"/>
        </w:rPr>
        <w:t>15.01.2019</w:t>
      </w:r>
      <w:r w:rsidR="0004564A" w:rsidRPr="006A1EA4">
        <w:rPr>
          <w:color w:val="000000" w:themeColor="text1"/>
          <w:sz w:val="18"/>
          <w:szCs w:val="18"/>
        </w:rPr>
        <w:t>.</w:t>
      </w:r>
      <w:r w:rsidR="007211F4" w:rsidRPr="006A1EA4">
        <w:rPr>
          <w:color w:val="FF0000"/>
          <w:sz w:val="18"/>
          <w:szCs w:val="18"/>
        </w:rPr>
        <w:t xml:space="preserve"> </w:t>
      </w:r>
      <w:r w:rsidR="007211F4" w:rsidRPr="006A1EA4">
        <w:rPr>
          <w:sz w:val="18"/>
          <w:szCs w:val="18"/>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6A1EA4">
        <w:rPr>
          <w:rFonts w:ascii="Times New Roman" w:hAnsi="Times New Roman"/>
          <w:b/>
          <w:sz w:val="20"/>
          <w:szCs w:val="20"/>
          <w:lang w:val="sr-Cyrl-CS"/>
        </w:rPr>
        <w:t>Медицинска средства за интервентну радиологију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884128" w:rsidP="00D626E3">
      <w:pPr>
        <w:spacing w:before="120" w:after="120"/>
        <w:jc w:val="center"/>
        <w:rPr>
          <w:b/>
          <w:spacing w:val="40"/>
          <w:sz w:val="20"/>
          <w:szCs w:val="20"/>
        </w:rPr>
      </w:pPr>
      <w:r>
        <w:rPr>
          <w:b/>
          <w:spacing w:val="40"/>
          <w:sz w:val="20"/>
          <w:szCs w:val="20"/>
        </w:rPr>
        <w:t>JН ОП 1Д/19</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884128">
        <w:rPr>
          <w:sz w:val="20"/>
          <w:szCs w:val="20"/>
          <w:lang w:val="sr-Cyrl-CS"/>
        </w:rPr>
        <w:t xml:space="preserve"> јануар</w:t>
      </w:r>
      <w:r w:rsidR="00B93584" w:rsidRPr="008E10EB">
        <w:rPr>
          <w:sz w:val="20"/>
          <w:szCs w:val="20"/>
          <w:lang w:val="sr-Cyrl-CS"/>
        </w:rPr>
        <w:t xml:space="preserve"> </w:t>
      </w:r>
      <w:r w:rsidR="00884128">
        <w:rPr>
          <w:sz w:val="20"/>
          <w:szCs w:val="20"/>
          <w:lang w:val="sr-Cyrl-CS"/>
        </w:rPr>
        <w:t>2019</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D15F8B">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D15F8B"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D15F8B"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DC6348" w:rsidRDefault="00DC6348" w:rsidP="00D15F8B">
            <w:pPr>
              <w:widowControl w:val="0"/>
              <w:autoSpaceDE w:val="0"/>
              <w:autoSpaceDN w:val="0"/>
              <w:adjustRightInd w:val="0"/>
              <w:ind w:right="-20"/>
              <w:rPr>
                <w:b/>
                <w:sz w:val="20"/>
                <w:szCs w:val="20"/>
                <w:lang w:val="sr-Cyrl-CS"/>
              </w:rPr>
            </w:pPr>
            <w:r>
              <w:rPr>
                <w:b/>
                <w:sz w:val="20"/>
                <w:szCs w:val="20"/>
                <w:lang w:val="sr-Cyrl-CS"/>
              </w:rPr>
              <w:t>21-22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DC6348"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DC6348"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DC6348"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DC6348" w:rsidP="00DF51EF">
            <w:pPr>
              <w:widowControl w:val="0"/>
              <w:autoSpaceDE w:val="0"/>
              <w:autoSpaceDN w:val="0"/>
              <w:adjustRightInd w:val="0"/>
              <w:ind w:right="-20"/>
              <w:jc w:val="center"/>
              <w:rPr>
                <w:b/>
                <w:sz w:val="20"/>
                <w:szCs w:val="20"/>
                <w:lang w:val="sr-Cyrl-CS"/>
              </w:rPr>
            </w:pPr>
            <w:r>
              <w:rPr>
                <w:b/>
                <w:sz w:val="20"/>
                <w:szCs w:val="20"/>
                <w:lang w:val="sr-Cyrl-CS"/>
              </w:rPr>
              <w:t>26-30</w:t>
            </w:r>
            <w:bookmarkStart w:id="8" w:name="_GoBack"/>
            <w:bookmarkEnd w:id="8"/>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DC6348" w:rsidP="00DF51EF">
            <w:pPr>
              <w:widowControl w:val="0"/>
              <w:autoSpaceDE w:val="0"/>
              <w:autoSpaceDN w:val="0"/>
              <w:adjustRightInd w:val="0"/>
              <w:ind w:right="-20"/>
              <w:jc w:val="center"/>
              <w:rPr>
                <w:b/>
                <w:sz w:val="20"/>
                <w:szCs w:val="20"/>
                <w:lang w:val="sr-Cyrl-CS"/>
              </w:rPr>
            </w:pPr>
            <w:r>
              <w:rPr>
                <w:b/>
                <w:sz w:val="20"/>
                <w:szCs w:val="20"/>
                <w:lang w:val="sr-Cyrl-CS"/>
              </w:rPr>
              <w:t>31-34</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DC6348">
        <w:rPr>
          <w:b/>
          <w:bCs/>
          <w:sz w:val="20"/>
          <w:szCs w:val="20"/>
          <w:lang w:val="sr-Cyrl-CS"/>
        </w:rPr>
        <w:t xml:space="preserve">34 </w:t>
      </w:r>
      <w:r w:rsidRPr="008E10EB">
        <w:rPr>
          <w:b/>
          <w:bCs/>
          <w:sz w:val="20"/>
          <w:szCs w:val="20"/>
          <w:lang w:val="sr-Cyrl-CS"/>
        </w:rPr>
        <w:t>стран</w:t>
      </w:r>
      <w:r w:rsidR="00DC6348">
        <w:rPr>
          <w:b/>
          <w:bCs/>
          <w:sz w:val="20"/>
          <w:szCs w:val="20"/>
          <w:lang w:val="sr-Cyrl-CS"/>
        </w:rPr>
        <w:t>е</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6E14582" wp14:editId="0B34414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6EB90B58" wp14:editId="4BF524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1695AE87" wp14:editId="07552725">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68CB6F76" wp14:editId="5F7FE47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6CD14B" wp14:editId="11A6143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2B6195DC" wp14:editId="59BEEEA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884128" w:rsidP="002F0184">
      <w:pPr>
        <w:jc w:val="center"/>
        <w:rPr>
          <w:b/>
          <w:bCs/>
          <w:spacing w:val="68"/>
          <w:sz w:val="20"/>
          <w:szCs w:val="20"/>
          <w:lang w:val="ru-RU"/>
        </w:rPr>
      </w:pPr>
      <w:r>
        <w:rPr>
          <w:b/>
          <w:bCs/>
          <w:sz w:val="20"/>
          <w:szCs w:val="20"/>
          <w:lang w:val="sr-Cyrl-CS"/>
        </w:rPr>
        <w:t>JН ОП 1Д/19</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B13A06" w:rsidRPr="008E10EB" w:rsidRDefault="009E3312" w:rsidP="00884128">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 xml:space="preserve">7 </w:t>
      </w: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0CD5DBA1" wp14:editId="03575EF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49E41642" wp14:editId="4E36AF9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E10EB" w:rsidRDefault="00D626E3" w:rsidP="00312211">
      <w:pPr>
        <w:autoSpaceDE w:val="0"/>
        <w:autoSpaceDN w:val="0"/>
        <w:adjustRightInd w:val="0"/>
        <w:spacing w:before="480"/>
        <w:rPr>
          <w:bCs/>
          <w:sz w:val="20"/>
          <w:szCs w:val="20"/>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884128">
        <w:rPr>
          <w:sz w:val="20"/>
          <w:szCs w:val="20"/>
          <w:lang w:val="sr-Cyrl-CS"/>
        </w:rPr>
        <w:t>9858</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884128">
        <w:rPr>
          <w:bCs/>
          <w:sz w:val="20"/>
          <w:szCs w:val="20"/>
          <w:lang w:val="sr-Cyrl-CS"/>
        </w:rPr>
        <w:t>09.01</w:t>
      </w:r>
      <w:r w:rsidR="00412CD6" w:rsidRPr="008E10EB">
        <w:rPr>
          <w:bCs/>
          <w:sz w:val="20"/>
          <w:szCs w:val="20"/>
          <w:lang w:val="sr-Cyrl-CS"/>
        </w:rPr>
        <w:t>.</w:t>
      </w:r>
      <w:r w:rsidR="00884128">
        <w:rPr>
          <w:bCs/>
          <w:sz w:val="20"/>
          <w:szCs w:val="20"/>
          <w:lang w:val="sr-Cyrl-CS"/>
        </w:rPr>
        <w:t>2019</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884128">
        <w:rPr>
          <w:bCs/>
          <w:sz w:val="20"/>
          <w:szCs w:val="20"/>
          <w:lang w:val="sr-Cyrl-CS"/>
        </w:rPr>
        <w:t>9858</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 xml:space="preserve">од </w:t>
      </w:r>
      <w:r w:rsidR="00884128">
        <w:rPr>
          <w:bCs/>
          <w:sz w:val="20"/>
          <w:szCs w:val="20"/>
          <w:lang w:val="sr-Cyrl-CS"/>
        </w:rPr>
        <w:t>09.01</w:t>
      </w:r>
      <w:r w:rsidR="00412CD6" w:rsidRPr="008E10EB">
        <w:rPr>
          <w:bCs/>
          <w:sz w:val="20"/>
          <w:szCs w:val="20"/>
          <w:lang w:val="sr-Cyrl-CS"/>
        </w:rPr>
        <w:t>.</w:t>
      </w:r>
      <w:r w:rsidR="00884128">
        <w:rPr>
          <w:bCs/>
          <w:sz w:val="20"/>
          <w:szCs w:val="20"/>
          <w:lang w:val="sr-Cyrl-CS"/>
        </w:rPr>
        <w:t>2019</w:t>
      </w:r>
      <w:r w:rsidR="00412CD6" w:rsidRPr="008E10EB">
        <w:rPr>
          <w:bCs/>
          <w:sz w:val="20"/>
          <w:szCs w:val="20"/>
          <w:lang w:val="sr-Cyrl-CS"/>
        </w:rPr>
        <w:t>.</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884128">
        <w:rPr>
          <w:b/>
          <w:sz w:val="20"/>
          <w:szCs w:val="20"/>
          <w:lang w:val="sr-Cyrl-RS"/>
        </w:rPr>
        <w:t xml:space="preserve">Медицинска средства </w:t>
      </w:r>
      <w:r w:rsidR="00884128" w:rsidRPr="00290310">
        <w:rPr>
          <w:b/>
          <w:sz w:val="20"/>
          <w:szCs w:val="20"/>
          <w:lang w:val="sr-Cyrl-RS"/>
        </w:rPr>
        <w:t>за интервентну р</w:t>
      </w:r>
      <w:r w:rsidR="00884128">
        <w:rPr>
          <w:b/>
          <w:sz w:val="20"/>
          <w:szCs w:val="20"/>
          <w:lang w:val="sr-Cyrl-RS"/>
        </w:rPr>
        <w:t>а</w:t>
      </w:r>
      <w:r w:rsidR="00884128" w:rsidRPr="00290310">
        <w:rPr>
          <w:b/>
          <w:sz w:val="20"/>
          <w:szCs w:val="20"/>
          <w:lang w:val="sr-Cyrl-RS"/>
        </w:rPr>
        <w:t>диологију по партијама</w:t>
      </w:r>
      <w:r w:rsidR="007B28C3" w:rsidRPr="008E10EB">
        <w:rPr>
          <w:bCs/>
          <w:sz w:val="20"/>
          <w:szCs w:val="20"/>
          <w:lang w:val="sr-Cyrl-RS"/>
        </w:rPr>
        <w:t xml:space="preserve">, </w:t>
      </w:r>
      <w:r w:rsidR="00091FC0" w:rsidRPr="008E10EB">
        <w:rPr>
          <w:bCs/>
          <w:sz w:val="20"/>
          <w:szCs w:val="20"/>
          <w:lang w:val="sr-Cyrl-CS"/>
        </w:rPr>
        <w:t xml:space="preserve"> </w:t>
      </w:r>
      <w:r w:rsidR="00884128">
        <w:rPr>
          <w:bCs/>
          <w:sz w:val="20"/>
          <w:szCs w:val="20"/>
          <w:lang w:val="sr-Cyrl-CS"/>
        </w:rPr>
        <w:t>JН ОП 1Д/19</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884128">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w:t>
      </w:r>
      <w:r w:rsidR="00884128" w:rsidRPr="00884128">
        <w:rPr>
          <w:sz w:val="20"/>
          <w:szCs w:val="20"/>
        </w:rPr>
        <w:t>Медицинска средства за интервентну радиологију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68296F" w:rsidRPr="008E10EB" w:rsidRDefault="0068296F" w:rsidP="009F2E83">
      <w:pPr>
        <w:ind w:left="360"/>
        <w:rPr>
          <w:sz w:val="20"/>
          <w:szCs w:val="20"/>
        </w:rPr>
      </w:pPr>
      <w:r w:rsidRPr="008E10EB">
        <w:rPr>
          <w:sz w:val="20"/>
          <w:szCs w:val="20"/>
        </w:rPr>
        <w:t xml:space="preserve">1.1. Назив и ознака из општег речника набавке: </w:t>
      </w:r>
      <w:r w:rsidR="005950CA" w:rsidRPr="008E10EB">
        <w:rPr>
          <w:sz w:val="20"/>
          <w:szCs w:val="20"/>
          <w:lang w:val="sr-Cyrl-RS"/>
        </w:rPr>
        <w:t>Медицински потрошни материјал</w:t>
      </w:r>
      <w:r w:rsidR="005950CA" w:rsidRPr="008E10EB">
        <w:rPr>
          <w:sz w:val="20"/>
          <w:szCs w:val="20"/>
        </w:rPr>
        <w:t xml:space="preserve"> – </w:t>
      </w:r>
      <w:r w:rsidR="005950CA" w:rsidRPr="008E10EB">
        <w:rPr>
          <w:sz w:val="20"/>
          <w:szCs w:val="20"/>
          <w:lang w:val="sr-Cyrl-RS"/>
        </w:rPr>
        <w:t>33140000</w:t>
      </w:r>
      <w:r w:rsidR="005950CA" w:rsidRPr="008E10EB">
        <w:rPr>
          <w:sz w:val="20"/>
          <w:szCs w:val="20"/>
        </w:rPr>
        <w:t xml:space="preserve"> </w:t>
      </w:r>
      <w:r w:rsidRPr="008E10EB">
        <w:rPr>
          <w:sz w:val="20"/>
          <w:szCs w:val="20"/>
        </w:rPr>
        <w:t>(исти за све партије</w:t>
      </w:r>
      <w:r w:rsidR="004B4872" w:rsidRPr="008E10EB">
        <w:rPr>
          <w:sz w:val="20"/>
          <w:szCs w:val="20"/>
        </w:rPr>
        <w:t>)</w:t>
      </w:r>
    </w:p>
    <w:p w:rsidR="0068296F" w:rsidRPr="008E10EB" w:rsidRDefault="0068296F" w:rsidP="0068296F">
      <w:pPr>
        <w:pStyle w:val="NoSpacing"/>
        <w:jc w:val="both"/>
        <w:rPr>
          <w:rFonts w:ascii="Times New Roman" w:hAnsi="Times New Roman"/>
          <w:color w:val="000000"/>
          <w:sz w:val="20"/>
          <w:szCs w:val="20"/>
        </w:rPr>
      </w:pPr>
    </w:p>
    <w:p w:rsidR="00B33637" w:rsidRDefault="001A609D" w:rsidP="00B33637">
      <w:pPr>
        <w:spacing w:line="276" w:lineRule="auto"/>
        <w:rPr>
          <w:b/>
          <w:sz w:val="20"/>
          <w:szCs w:val="20"/>
          <w:lang w:val="sr-Cyrl-C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884128">
        <w:rPr>
          <w:b/>
          <w:sz w:val="20"/>
          <w:szCs w:val="20"/>
          <w:lang w:val="sr-Cyrl-CS"/>
        </w:rPr>
        <w:t>7</w:t>
      </w:r>
      <w:r w:rsidRPr="008E10EB">
        <w:rPr>
          <w:b/>
          <w:sz w:val="20"/>
          <w:szCs w:val="20"/>
          <w:lang w:val="sr-Cyrl-RS"/>
        </w:rPr>
        <w:t xml:space="preserve">  </w:t>
      </w:r>
      <w:r w:rsidRPr="008E10EB">
        <w:rPr>
          <w:b/>
          <w:sz w:val="20"/>
          <w:szCs w:val="20"/>
        </w:rPr>
        <w:t>партиј</w:t>
      </w:r>
      <w:r w:rsidR="00884128">
        <w:rPr>
          <w:b/>
          <w:sz w:val="20"/>
          <w:szCs w:val="20"/>
          <w:lang w:val="sr-Cyrl-CS"/>
        </w:rPr>
        <w:t>а</w:t>
      </w:r>
      <w:r w:rsidR="00412CD6" w:rsidRPr="008E10EB">
        <w:rPr>
          <w:b/>
          <w:sz w:val="20"/>
          <w:szCs w:val="20"/>
          <w:lang w:val="sr-Cyrl-CS"/>
        </w:rPr>
        <w:t>.</w:t>
      </w:r>
    </w:p>
    <w:p w:rsidR="0002430E" w:rsidRDefault="0002430E" w:rsidP="00B33637">
      <w:pPr>
        <w:spacing w:line="276" w:lineRule="auto"/>
        <w:rPr>
          <w:b/>
          <w:sz w:val="20"/>
          <w:szCs w:val="20"/>
          <w:lang w:val="sr-Cyrl-CS"/>
        </w:rPr>
      </w:pPr>
    </w:p>
    <w:p w:rsidR="0002430E" w:rsidRPr="008E10EB" w:rsidRDefault="0002430E" w:rsidP="00B33637">
      <w:pPr>
        <w:spacing w:line="276" w:lineRule="auto"/>
        <w:rPr>
          <w:i/>
          <w:iCs/>
          <w:sz w:val="20"/>
          <w:szCs w:val="20"/>
          <w:lang w:val="sr-Cyrl-CS" w:eastAsia="en-US"/>
        </w:rPr>
      </w:pPr>
    </w:p>
    <w:tbl>
      <w:tblPr>
        <w:tblW w:w="9809" w:type="dxa"/>
        <w:tblInd w:w="-848" w:type="dxa"/>
        <w:tblLayout w:type="fixed"/>
        <w:tblCellMar>
          <w:left w:w="30" w:type="dxa"/>
          <w:right w:w="30" w:type="dxa"/>
        </w:tblCellMar>
        <w:tblLook w:val="0000" w:firstRow="0" w:lastRow="0" w:firstColumn="0" w:lastColumn="0" w:noHBand="0" w:noVBand="0"/>
      </w:tblPr>
      <w:tblGrid>
        <w:gridCol w:w="509"/>
        <w:gridCol w:w="7599"/>
        <w:gridCol w:w="1701"/>
      </w:tblGrid>
      <w:tr w:rsidR="00884128" w:rsidRPr="00FE1875" w:rsidTr="00E512BE">
        <w:trPr>
          <w:trHeight w:val="533"/>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b/>
                <w:bCs/>
                <w:noProof/>
                <w:color w:val="000000"/>
                <w:sz w:val="18"/>
                <w:szCs w:val="18"/>
                <w:lang w:val="sr-Cyrl-CS"/>
              </w:rPr>
            </w:pPr>
            <w:r w:rsidRPr="00FE1875">
              <w:rPr>
                <w:b/>
                <w:bCs/>
                <w:noProof/>
                <w:color w:val="000000"/>
                <w:sz w:val="18"/>
                <w:szCs w:val="18"/>
                <w:lang w:val="sr-Cyrl-CS"/>
              </w:rPr>
              <w:t>Редни број партије</w:t>
            </w:r>
          </w:p>
        </w:tc>
        <w:tc>
          <w:tcPr>
            <w:tcW w:w="759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b/>
                <w:bCs/>
                <w:noProof/>
                <w:color w:val="000000"/>
                <w:sz w:val="18"/>
                <w:szCs w:val="18"/>
                <w:lang w:val="sr-Cyrl-CS"/>
              </w:rPr>
            </w:pPr>
            <w:r w:rsidRPr="00FE1875">
              <w:rPr>
                <w:b/>
                <w:bCs/>
                <w:noProof/>
                <w:color w:val="000000"/>
                <w:sz w:val="18"/>
                <w:szCs w:val="18"/>
                <w:lang w:val="sr-Cyrl-CS"/>
              </w:rPr>
              <w:t>НАЗИВ ПАРТИЈЕ - СПЕЦИФИКАЦИЈА</w:t>
            </w:r>
          </w:p>
        </w:tc>
        <w:tc>
          <w:tcPr>
            <w:tcW w:w="1701"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jc w:val="center"/>
              <w:rPr>
                <w:b/>
                <w:bCs/>
                <w:sz w:val="18"/>
                <w:szCs w:val="18"/>
              </w:rPr>
            </w:pPr>
            <w:r w:rsidRPr="00FE1875">
              <w:rPr>
                <w:b/>
                <w:bCs/>
                <w:sz w:val="18"/>
                <w:szCs w:val="18"/>
                <w:lang w:val="sr-Cyrl-CS"/>
              </w:rPr>
              <w:t xml:space="preserve">Процењена </w:t>
            </w:r>
            <w:r w:rsidRPr="00FE1875">
              <w:rPr>
                <w:b/>
                <w:bCs/>
                <w:noProof/>
                <w:sz w:val="18"/>
                <w:szCs w:val="18"/>
                <w:lang w:val="sr-Cyrl-CS"/>
              </w:rPr>
              <w:t>вредност без пдв-</w:t>
            </w:r>
            <w:r w:rsidRPr="00FE1875">
              <w:rPr>
                <w:b/>
                <w:bCs/>
                <w:sz w:val="18"/>
                <w:szCs w:val="18"/>
                <w:lang w:val="sr-Cyrl-CS"/>
              </w:rPr>
              <w:t>а</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1</w:t>
            </w:r>
          </w:p>
        </w:tc>
        <w:tc>
          <w:tcPr>
            <w:tcW w:w="7599"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rPr>
                <w:sz w:val="18"/>
                <w:szCs w:val="18"/>
              </w:rPr>
            </w:pPr>
            <w:r w:rsidRPr="00E03F0F">
              <w:rPr>
                <w:sz w:val="18"/>
                <w:szCs w:val="18"/>
              </w:rPr>
              <w:t>Mikrosfere za embolizaciju od polieilen glikola, koje se pune citostatikom, dimenzija 100±25 µm, 200 ±50µm, 400±50µm</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800.000,00</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lastRenderedPageBreak/>
              <w:t>2</w:t>
            </w:r>
          </w:p>
        </w:tc>
        <w:tc>
          <w:tcPr>
            <w:tcW w:w="7599"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rPr>
                <w:sz w:val="18"/>
                <w:szCs w:val="18"/>
              </w:rPr>
            </w:pPr>
            <w:r w:rsidRPr="00E03F0F">
              <w:rPr>
                <w:sz w:val="18"/>
                <w:szCs w:val="18"/>
              </w:rPr>
              <w:t>Mikrosfere za administraciju leka od PVA, zapremine 2ml u bočici od 10ml, promera 70-150mikrona</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660.000,00</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3</w:t>
            </w:r>
          </w:p>
        </w:tc>
        <w:tc>
          <w:tcPr>
            <w:tcW w:w="7599" w:type="dxa"/>
            <w:tcBorders>
              <w:top w:val="single" w:sz="6" w:space="0" w:color="auto"/>
              <w:left w:val="single" w:sz="6" w:space="0" w:color="auto"/>
              <w:bottom w:val="single" w:sz="6" w:space="0" w:color="auto"/>
              <w:right w:val="single" w:sz="6" w:space="0" w:color="auto"/>
            </w:tcBorders>
            <w:vAlign w:val="bottom"/>
          </w:tcPr>
          <w:p w:rsidR="00884128" w:rsidRPr="00E03F0F" w:rsidRDefault="00884128" w:rsidP="00E512BE">
            <w:pPr>
              <w:rPr>
                <w:sz w:val="18"/>
                <w:szCs w:val="18"/>
              </w:rPr>
            </w:pPr>
            <w:r w:rsidRPr="00E03F0F">
              <w:rPr>
                <w:sz w:val="18"/>
                <w:szCs w:val="18"/>
              </w:rPr>
              <w:t>Mikrosfere za punjenje lekom veličine 40 mikrona, 75 mikrona i 100 mikrona za 100mg leka u špricu od 2ml i 3ml</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660.000,00</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4</w:t>
            </w:r>
          </w:p>
        </w:tc>
        <w:tc>
          <w:tcPr>
            <w:tcW w:w="7599"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rPr>
                <w:sz w:val="18"/>
                <w:szCs w:val="18"/>
              </w:rPr>
            </w:pPr>
            <w:r w:rsidRPr="00E03F0F">
              <w:rPr>
                <w:sz w:val="18"/>
                <w:szCs w:val="18"/>
              </w:rPr>
              <w:t>Mikrosfere za embolizaciju od polieilen glikola, dimenzija 75±30 µm, 200 ±75µm, 400±75µm, 600±75µm, 800±75µm i 1100±75µm</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200.000,00</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5</w:t>
            </w:r>
          </w:p>
        </w:tc>
        <w:tc>
          <w:tcPr>
            <w:tcW w:w="7599" w:type="dxa"/>
            <w:tcBorders>
              <w:top w:val="single" w:sz="6" w:space="0" w:color="auto"/>
              <w:left w:val="single" w:sz="6" w:space="0" w:color="auto"/>
              <w:bottom w:val="single" w:sz="6" w:space="0" w:color="auto"/>
              <w:right w:val="single" w:sz="6" w:space="0" w:color="auto"/>
            </w:tcBorders>
            <w:vAlign w:val="bottom"/>
          </w:tcPr>
          <w:p w:rsidR="00884128" w:rsidRPr="00E03F0F" w:rsidRDefault="00884128" w:rsidP="00E512BE">
            <w:pPr>
              <w:rPr>
                <w:sz w:val="18"/>
                <w:szCs w:val="18"/>
              </w:rPr>
            </w:pPr>
            <w:r w:rsidRPr="00E03F0F">
              <w:rPr>
                <w:sz w:val="18"/>
                <w:szCs w:val="18"/>
              </w:rPr>
              <w:t>Mikrosfere za embolizaciju izrađene od polivinil akrilamid polimera, promera od 10 do 1200 mikrona, zapremine 2ml, pripremljenje za upotrebu u špricu od 20ml</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110.000,00</w:t>
            </w:r>
          </w:p>
        </w:tc>
      </w:tr>
      <w:tr w:rsidR="00884128" w:rsidRPr="00FE1875" w:rsidTr="00E512BE">
        <w:trPr>
          <w:trHeight w:val="139"/>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6</w:t>
            </w:r>
          </w:p>
        </w:tc>
        <w:tc>
          <w:tcPr>
            <w:tcW w:w="7599" w:type="dxa"/>
            <w:tcBorders>
              <w:top w:val="single" w:sz="6" w:space="0" w:color="auto"/>
              <w:left w:val="single" w:sz="6" w:space="0" w:color="auto"/>
              <w:bottom w:val="single" w:sz="6" w:space="0" w:color="auto"/>
              <w:right w:val="single" w:sz="6" w:space="0" w:color="auto"/>
            </w:tcBorders>
            <w:vAlign w:val="bottom"/>
          </w:tcPr>
          <w:p w:rsidR="00884128" w:rsidRPr="00E03F0F" w:rsidRDefault="00884128" w:rsidP="00E512BE">
            <w:pPr>
              <w:rPr>
                <w:sz w:val="18"/>
                <w:szCs w:val="18"/>
              </w:rPr>
            </w:pPr>
            <w:r w:rsidRPr="00E03F0F">
              <w:rPr>
                <w:sz w:val="18"/>
                <w:szCs w:val="18"/>
              </w:rPr>
              <w:t>Mikrosfere za embolizaciju veličine od 40 do 1300 mikrona, napravljene od acryl copolymera sa želatinom za embolizaciju hipervaskularnih tumora, uterinih fibroida, hepatocelularnih karcinoma, dostupne u pakovanju od 1ml i 2ml, u špricu pripremljene i u boci suve</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120.000,00</w:t>
            </w:r>
          </w:p>
        </w:tc>
      </w:tr>
      <w:tr w:rsidR="00884128" w:rsidRPr="00FE1875" w:rsidTr="00E512BE">
        <w:trPr>
          <w:trHeight w:val="127"/>
        </w:trPr>
        <w:tc>
          <w:tcPr>
            <w:tcW w:w="509" w:type="dxa"/>
            <w:tcBorders>
              <w:top w:val="single" w:sz="6" w:space="0" w:color="auto"/>
              <w:left w:val="single" w:sz="6" w:space="0" w:color="auto"/>
              <w:bottom w:val="single" w:sz="6" w:space="0" w:color="auto"/>
              <w:right w:val="single" w:sz="6" w:space="0" w:color="auto"/>
            </w:tcBorders>
          </w:tcPr>
          <w:p w:rsidR="00884128" w:rsidRPr="00FE1875" w:rsidRDefault="00884128" w:rsidP="00E512BE">
            <w:pPr>
              <w:autoSpaceDE w:val="0"/>
              <w:autoSpaceDN w:val="0"/>
              <w:adjustRightInd w:val="0"/>
              <w:jc w:val="center"/>
              <w:rPr>
                <w:color w:val="000000"/>
                <w:sz w:val="18"/>
                <w:szCs w:val="18"/>
              </w:rPr>
            </w:pPr>
            <w:r w:rsidRPr="00FE1875">
              <w:rPr>
                <w:color w:val="000000"/>
                <w:sz w:val="18"/>
                <w:szCs w:val="18"/>
              </w:rPr>
              <w:t>7</w:t>
            </w:r>
          </w:p>
        </w:tc>
        <w:tc>
          <w:tcPr>
            <w:tcW w:w="7599" w:type="dxa"/>
            <w:tcBorders>
              <w:top w:val="single" w:sz="6" w:space="0" w:color="auto"/>
              <w:left w:val="single" w:sz="6" w:space="0" w:color="auto"/>
              <w:bottom w:val="single" w:sz="6" w:space="0" w:color="auto"/>
              <w:right w:val="single" w:sz="6" w:space="0" w:color="auto"/>
            </w:tcBorders>
            <w:vAlign w:val="bottom"/>
          </w:tcPr>
          <w:p w:rsidR="00884128" w:rsidRPr="00E03F0F" w:rsidRDefault="00884128" w:rsidP="00E512BE">
            <w:pPr>
              <w:rPr>
                <w:sz w:val="18"/>
                <w:szCs w:val="18"/>
              </w:rPr>
            </w:pPr>
            <w:r w:rsidRPr="00E03F0F">
              <w:rPr>
                <w:sz w:val="18"/>
                <w:szCs w:val="18"/>
              </w:rPr>
              <w:t>Koaksijalni mikrokateterski set dijamtra 2,7 Fr dužine 110 ili 130 cm u setu sa vodičem od 0,021', sa hidrofilnim coatingom i markerom na vrhu</w:t>
            </w:r>
          </w:p>
        </w:tc>
        <w:tc>
          <w:tcPr>
            <w:tcW w:w="1701" w:type="dxa"/>
            <w:tcBorders>
              <w:top w:val="single" w:sz="6" w:space="0" w:color="auto"/>
              <w:left w:val="single" w:sz="6" w:space="0" w:color="auto"/>
              <w:bottom w:val="single" w:sz="6" w:space="0" w:color="auto"/>
              <w:right w:val="single" w:sz="6" w:space="0" w:color="auto"/>
            </w:tcBorders>
            <w:vAlign w:val="center"/>
          </w:tcPr>
          <w:p w:rsidR="00884128" w:rsidRPr="00E03F0F" w:rsidRDefault="00884128" w:rsidP="00E512BE">
            <w:pPr>
              <w:jc w:val="right"/>
              <w:rPr>
                <w:sz w:val="18"/>
                <w:szCs w:val="18"/>
              </w:rPr>
            </w:pPr>
            <w:r w:rsidRPr="00E03F0F">
              <w:rPr>
                <w:sz w:val="18"/>
                <w:szCs w:val="18"/>
              </w:rPr>
              <w:t>800.000,00</w:t>
            </w:r>
          </w:p>
        </w:tc>
      </w:tr>
    </w:tbl>
    <w:p w:rsidR="00884128" w:rsidRPr="00FE1875" w:rsidRDefault="00884128" w:rsidP="00884128">
      <w:pPr>
        <w:spacing w:line="360" w:lineRule="auto"/>
        <w:ind w:left="-993" w:firstLine="993"/>
        <w:rPr>
          <w:sz w:val="18"/>
          <w:szCs w:val="18"/>
          <w:lang w:val="sr-Cyrl-RS"/>
        </w:rPr>
      </w:pPr>
    </w:p>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w:t>
      </w:r>
      <w:r w:rsidR="00FD6713">
        <w:rPr>
          <w:b/>
          <w:i/>
          <w:sz w:val="20"/>
          <w:szCs w:val="20"/>
          <w:lang w:val="sr-Cyrl-CS"/>
        </w:rPr>
        <w:t>1</w:t>
      </w:r>
      <w:r w:rsidR="00912D73">
        <w:rPr>
          <w:b/>
          <w:i/>
          <w:sz w:val="20"/>
          <w:szCs w:val="20"/>
          <w:lang w:val="sr-Cyrl-CS"/>
        </w:rPr>
        <w:t>-</w:t>
      </w:r>
      <w:r w:rsidR="008C7462">
        <w:rPr>
          <w:b/>
          <w:i/>
          <w:sz w:val="20"/>
          <w:szCs w:val="20"/>
          <w:lang w:val="sr-Cyrl-CS"/>
        </w:rPr>
        <w:t>2</w:t>
      </w:r>
      <w:r w:rsidR="00FD6713">
        <w:rPr>
          <w:b/>
          <w:i/>
          <w:sz w:val="20"/>
          <w:szCs w:val="20"/>
          <w:lang w:val="sr-Cyrl-CS"/>
        </w:rPr>
        <w:t>2</w:t>
      </w:r>
      <w:r w:rsidR="00912D73">
        <w:rPr>
          <w:b/>
          <w:i/>
          <w:sz w:val="20"/>
          <w:szCs w:val="20"/>
          <w:lang w:val="sr-Cyrl-CS"/>
        </w:rPr>
        <w:t>.</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Pr="008E10EB"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611CA3" w:rsidRPr="008E10EB" w:rsidRDefault="00611CA3" w:rsidP="007D509C">
      <w:pPr>
        <w:outlineLvl w:val="0"/>
        <w:rPr>
          <w:rFonts w:eastAsia="Calibri"/>
          <w:bCs/>
          <w:color w:val="000000"/>
          <w:sz w:val="20"/>
          <w:szCs w:val="20"/>
          <w:lang w:val="sr-Latn-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lastRenderedPageBreak/>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lastRenderedPageBreak/>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Pr="008E10EB" w:rsidRDefault="00593FF0" w:rsidP="00C72D8A">
      <w:pPr>
        <w:tabs>
          <w:tab w:val="clear" w:pos="1440"/>
          <w:tab w:val="left" w:pos="720"/>
        </w:tabs>
        <w:rPr>
          <w:color w:val="FF0000"/>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lastRenderedPageBreak/>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E10EB" w:rsidRDefault="00D64D87"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5F195D" w:rsidRPr="008E10EB" w:rsidRDefault="00C72D8A" w:rsidP="00734D36">
      <w:pPr>
        <w:tabs>
          <w:tab w:val="left" w:pos="720"/>
        </w:tabs>
        <w:spacing w:line="276" w:lineRule="auto"/>
        <w:rPr>
          <w:sz w:val="20"/>
          <w:szCs w:val="20"/>
          <w:lang w:val="sr-Cyrl-RS"/>
        </w:rPr>
      </w:pPr>
      <w:r w:rsidRPr="008E10EB">
        <w:rPr>
          <w:sz w:val="20"/>
          <w:szCs w:val="20"/>
          <w:lang w:val="sr-Cyrl-CS"/>
        </w:rPr>
        <w:t>-</w:t>
      </w:r>
      <w:r w:rsidRPr="008E10EB">
        <w:rPr>
          <w:sz w:val="20"/>
          <w:szCs w:val="20"/>
        </w:rPr>
        <w:t xml:space="preserve"> </w:t>
      </w:r>
      <w:r w:rsidR="00F53476" w:rsidRPr="008E10EB">
        <w:rPr>
          <w:sz w:val="20"/>
          <w:szCs w:val="20"/>
          <w:lang w:val="sr-Cyrl-RS"/>
        </w:rPr>
        <w:t>Као доказ техничких карактеристика/спецификације предмета јавне набавке, п</w:t>
      </w:r>
      <w:r w:rsidR="005F195D" w:rsidRPr="008E10EB">
        <w:rPr>
          <w:sz w:val="20"/>
          <w:szCs w:val="20"/>
        </w:rPr>
        <w:t>онуђач је дужан да уз понуду достави каталог</w:t>
      </w:r>
      <w:r w:rsidR="00F53476" w:rsidRPr="008E10EB">
        <w:rPr>
          <w:sz w:val="20"/>
          <w:szCs w:val="20"/>
          <w:lang w:val="sr-Cyrl-RS"/>
        </w:rPr>
        <w:t xml:space="preserve"> </w:t>
      </w:r>
      <w:r w:rsidR="00F53476" w:rsidRPr="008E10EB">
        <w:rPr>
          <w:sz w:val="20"/>
          <w:szCs w:val="20"/>
          <w:lang w:val="sr-Cyrl-CS"/>
        </w:rPr>
        <w:t>(који издаје произвођач или дистрибутер)</w:t>
      </w:r>
      <w:r w:rsidR="00520F86">
        <w:rPr>
          <w:sz w:val="20"/>
          <w:szCs w:val="20"/>
          <w:lang w:val="sr-Cyrl-CS"/>
        </w:rPr>
        <w:t>/копију каталога/извод из каталога</w:t>
      </w:r>
      <w:r w:rsidR="005F195D" w:rsidRPr="008E10EB">
        <w:rPr>
          <w:sz w:val="20"/>
          <w:szCs w:val="20"/>
        </w:rPr>
        <w:t xml:space="preserve"> са детаљним </w:t>
      </w:r>
      <w:r w:rsidR="00F53476" w:rsidRPr="008E10EB">
        <w:rPr>
          <w:sz w:val="20"/>
          <w:szCs w:val="20"/>
          <w:lang w:val="sr-Cyrl-RS"/>
        </w:rPr>
        <w:t xml:space="preserve">техничким </w:t>
      </w:r>
      <w:r w:rsidR="005F195D" w:rsidRPr="008E10EB">
        <w:rPr>
          <w:sz w:val="20"/>
          <w:szCs w:val="20"/>
        </w:rPr>
        <w:t>карактеристикама производа кој</w:t>
      </w:r>
      <w:r w:rsidR="00F53476" w:rsidRPr="008E10EB">
        <w:rPr>
          <w:sz w:val="20"/>
          <w:szCs w:val="20"/>
          <w:lang w:val="sr-Cyrl-RS"/>
        </w:rPr>
        <w:t>и се</w:t>
      </w:r>
      <w:r w:rsidR="005F195D" w:rsidRPr="008E10EB">
        <w:rPr>
          <w:sz w:val="20"/>
          <w:szCs w:val="20"/>
        </w:rPr>
        <w:t xml:space="preserve"> нуд</w:t>
      </w:r>
      <w:r w:rsidR="00F53476" w:rsidRPr="008E10EB">
        <w:rPr>
          <w:sz w:val="20"/>
          <w:szCs w:val="20"/>
          <w:lang w:val="sr-Cyrl-RS"/>
        </w:rPr>
        <w:t xml:space="preserve">е, у коме  </w:t>
      </w:r>
      <w:r w:rsidR="007D66EE" w:rsidRPr="008E10EB">
        <w:rPr>
          <w:sz w:val="20"/>
          <w:szCs w:val="20"/>
          <w:lang w:val="sr-Cyrl-RS"/>
        </w:rPr>
        <w:t xml:space="preserve">исте требају да буду обележене </w:t>
      </w:r>
      <w:r w:rsidR="007D66EE" w:rsidRPr="008E10EB">
        <w:rPr>
          <w:sz w:val="20"/>
          <w:szCs w:val="20"/>
        </w:rPr>
        <w:t>(за све партије)</w:t>
      </w:r>
      <w:r w:rsidR="005F195D" w:rsidRPr="008E10EB">
        <w:rPr>
          <w:sz w:val="20"/>
          <w:szCs w:val="20"/>
        </w:rPr>
        <w:t xml:space="preserve">. </w:t>
      </w:r>
      <w:r w:rsidR="007D66EE" w:rsidRPr="008E10EB">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E10EB" w:rsidRDefault="007D66EE" w:rsidP="005F195D">
      <w:pPr>
        <w:rPr>
          <w:sz w:val="20"/>
          <w:szCs w:val="20"/>
          <w:lang w:val="sr-Cyrl-CS"/>
        </w:rPr>
      </w:pPr>
    </w:p>
    <w:p w:rsidR="005F195D" w:rsidRPr="008E10EB" w:rsidRDefault="005F195D" w:rsidP="005F195D">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E10EB" w:rsidRDefault="007D66EE"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02430E" w:rsidRDefault="00E84AAC" w:rsidP="00734D36">
      <w:pPr>
        <w:rPr>
          <w:rFonts w:eastAsia="Calibri"/>
          <w:b/>
          <w:sz w:val="20"/>
          <w:szCs w:val="20"/>
          <w:lang w:val="sr-Cyrl-CS"/>
        </w:rPr>
      </w:pPr>
    </w:p>
    <w:p w:rsidR="00E84AAC" w:rsidRPr="008E10EB"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02430E" w:rsidP="00734D36">
      <w:pPr>
        <w:spacing w:line="360" w:lineRule="auto"/>
        <w:rPr>
          <w:sz w:val="20"/>
          <w:szCs w:val="20"/>
          <w:lang w:val="sr-Cyrl-CS"/>
        </w:rPr>
      </w:pPr>
      <w:r w:rsidRPr="0002430E">
        <w:rPr>
          <w:b/>
          <w:i/>
          <w:sz w:val="20"/>
          <w:szCs w:val="20"/>
          <w:lang w:val="sr-Cyrl-CS"/>
        </w:rPr>
        <w:t>Медицинска средства за интервентну радиологију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884128">
        <w:rPr>
          <w:b/>
          <w:sz w:val="20"/>
          <w:szCs w:val="20"/>
        </w:rPr>
        <w:t>JН ОП 1Д/19</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w:t>
      </w:r>
      <w:r w:rsidR="008F11C0" w:rsidRPr="008E10EB">
        <w:rPr>
          <w:sz w:val="20"/>
          <w:szCs w:val="20"/>
        </w:rPr>
        <w:lastRenderedPageBreak/>
        <w:t xml:space="preserve">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02430E">
        <w:rPr>
          <w:b/>
          <w:sz w:val="20"/>
          <w:szCs w:val="20"/>
          <w:lang w:val="sr-Cyrl-CS"/>
        </w:rPr>
        <w:t>31.01</w:t>
      </w:r>
      <w:r w:rsidR="003E5BB6">
        <w:rPr>
          <w:b/>
          <w:sz w:val="20"/>
          <w:szCs w:val="20"/>
          <w:lang w:val="sr-Cyrl-CS"/>
        </w:rPr>
        <w:t>.</w:t>
      </w:r>
      <w:r w:rsidR="00884128">
        <w:rPr>
          <w:b/>
          <w:sz w:val="20"/>
          <w:szCs w:val="20"/>
          <w:lang w:val="sr-Cyrl-CS"/>
        </w:rPr>
        <w:t>2019</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02430E">
        <w:rPr>
          <w:b/>
          <w:sz w:val="20"/>
          <w:szCs w:val="20"/>
          <w:lang w:val="sr-Cyrl-CS"/>
        </w:rPr>
        <w:t>31.01</w:t>
      </w:r>
      <w:r w:rsidR="000D7293" w:rsidRPr="008E10EB">
        <w:rPr>
          <w:b/>
          <w:sz w:val="20"/>
          <w:szCs w:val="20"/>
          <w:lang w:val="sr-Latn-CS"/>
        </w:rPr>
        <w:t>.</w:t>
      </w:r>
      <w:r w:rsidR="00884128">
        <w:rPr>
          <w:b/>
          <w:sz w:val="20"/>
          <w:szCs w:val="20"/>
          <w:lang w:val="sr-Cyrl-CS"/>
        </w:rPr>
        <w:t>2019</w:t>
      </w:r>
      <w:r w:rsidR="00734D36" w:rsidRPr="008E10EB">
        <w:rPr>
          <w:b/>
          <w:sz w:val="20"/>
          <w:szCs w:val="20"/>
          <w:lang w:val="sr-Cyrl-CS"/>
        </w:rPr>
        <w:t>.</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02430E">
        <w:rPr>
          <w:b/>
          <w:sz w:val="20"/>
          <w:szCs w:val="20"/>
          <w:lang w:val="sr-Cyrl-CS"/>
        </w:rPr>
        <w:t>31.01.</w:t>
      </w:r>
      <w:r w:rsidR="00884128">
        <w:rPr>
          <w:b/>
          <w:sz w:val="20"/>
          <w:szCs w:val="20"/>
          <w:lang w:val="sr-Cyrl-RS"/>
        </w:rPr>
        <w:t>2019</w:t>
      </w:r>
      <w:r w:rsidR="00734D36" w:rsidRPr="008E10EB">
        <w:rPr>
          <w:b/>
          <w:sz w:val="20"/>
          <w:szCs w:val="20"/>
          <w:lang w:val="sr-Cyrl-RS"/>
        </w:rPr>
        <w:t>.</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02430E">
        <w:rPr>
          <w:b/>
          <w:sz w:val="20"/>
          <w:szCs w:val="20"/>
          <w:lang w:val="sr-Cyrl-CS"/>
        </w:rPr>
        <w:t>31.01</w:t>
      </w:r>
      <w:r w:rsidR="003E5BB6">
        <w:rPr>
          <w:b/>
          <w:sz w:val="20"/>
          <w:szCs w:val="20"/>
          <w:lang w:val="sr-Cyrl-CS"/>
        </w:rPr>
        <w:t>.</w:t>
      </w:r>
      <w:r w:rsidR="00884128">
        <w:rPr>
          <w:b/>
          <w:sz w:val="20"/>
          <w:szCs w:val="20"/>
          <w:lang w:val="sr-Cyrl-RS"/>
        </w:rPr>
        <w:t>2019</w:t>
      </w:r>
      <w:r w:rsidR="00734D36" w:rsidRPr="008E10EB">
        <w:rPr>
          <w:b/>
          <w:sz w:val="20"/>
          <w:szCs w:val="20"/>
          <w:lang w:val="sr-Cyrl-RS"/>
        </w:rPr>
        <w:t xml:space="preserve">.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884128">
        <w:rPr>
          <w:sz w:val="20"/>
          <w:szCs w:val="20"/>
          <w:lang w:val="sr-Cyrl-CS"/>
        </w:rPr>
        <w:t>JН ОП 1Д/19</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884128">
        <w:rPr>
          <w:sz w:val="20"/>
          <w:szCs w:val="20"/>
        </w:rPr>
        <w:t>JН ОП 1Д/19</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884128">
        <w:rPr>
          <w:sz w:val="20"/>
          <w:szCs w:val="20"/>
        </w:rPr>
        <w:t>JН ОП 1Д/19</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884128">
        <w:rPr>
          <w:sz w:val="20"/>
          <w:szCs w:val="20"/>
        </w:rPr>
        <w:t>JН ОП 1Д/19</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884128">
        <w:rPr>
          <w:sz w:val="20"/>
          <w:szCs w:val="20"/>
        </w:rPr>
        <w:t>JН ОП 1Д/19</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w:t>
      </w:r>
      <w:r w:rsidRPr="008E10EB">
        <w:rPr>
          <w:sz w:val="20"/>
          <w:szCs w:val="20"/>
        </w:rPr>
        <w:lastRenderedPageBreak/>
        <w:t>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Latn-CS"/>
        </w:rPr>
        <w:t xml:space="preserve">II </w:t>
      </w: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C44049" w:rsidRPr="008E10EB" w:rsidRDefault="00C44049" w:rsidP="00C44049">
      <w:pPr>
        <w:rPr>
          <w:b/>
          <w:sz w:val="20"/>
          <w:szCs w:val="20"/>
          <w:lang w:val="sr-Cyrl-CS"/>
        </w:rPr>
      </w:pPr>
      <w:bookmarkStart w:id="47" w:name="_Toc404159486"/>
      <w:r w:rsidRPr="008E10EB">
        <w:rPr>
          <w:b/>
          <w:sz w:val="20"/>
          <w:szCs w:val="20"/>
          <w:lang w:val="sr-Cyrl-CS"/>
        </w:rPr>
        <w:t>1. Доказ (додатни услов из члана 76. став 2.  ЗЈН – финансијски капацитет)</w:t>
      </w:r>
      <w:bookmarkEnd w:id="47"/>
    </w:p>
    <w:p w:rsidR="00C44049" w:rsidRPr="008E10EB" w:rsidRDefault="00C44049" w:rsidP="00C44049">
      <w:pPr>
        <w:rPr>
          <w:sz w:val="20"/>
          <w:szCs w:val="20"/>
          <w:lang w:val="sr-Cyrl-CS"/>
        </w:rPr>
      </w:pPr>
      <w:r w:rsidRPr="008E10EB">
        <w:rPr>
          <w:sz w:val="20"/>
          <w:szCs w:val="20"/>
          <w:lang w:val="sr-Cyrl-CS"/>
        </w:rPr>
        <w:tab/>
      </w:r>
      <w:r w:rsidRPr="008E10EB">
        <w:rPr>
          <w:b/>
          <w:iCs/>
          <w:sz w:val="20"/>
          <w:szCs w:val="20"/>
          <w:lang w:val="sr-Cyrl-CS"/>
        </w:rPr>
        <w:t>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C44049" w:rsidRPr="008E10EB" w:rsidRDefault="00003795" w:rsidP="00C44049">
      <w:pPr>
        <w:tabs>
          <w:tab w:val="clear" w:pos="1440"/>
        </w:tabs>
        <w:ind w:right="26"/>
        <w:rPr>
          <w:sz w:val="20"/>
          <w:szCs w:val="20"/>
          <w:lang w:val="sr-Cyrl-CS"/>
        </w:rPr>
      </w:pPr>
      <w:r w:rsidRPr="008E10EB">
        <w:rPr>
          <w:sz w:val="20"/>
          <w:szCs w:val="20"/>
          <w:lang w:val="sr-Cyrl-CS"/>
        </w:rPr>
        <w:t>1</w:t>
      </w:r>
      <w:r w:rsidR="00C44049"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8E10EB" w:rsidRDefault="00C44049" w:rsidP="00C44049">
      <w:pPr>
        <w:tabs>
          <w:tab w:val="clear" w:pos="1440"/>
          <w:tab w:val="left" w:pos="709"/>
        </w:tabs>
        <w:rPr>
          <w:b/>
          <w:iCs/>
          <w:color w:val="00B050"/>
          <w:sz w:val="20"/>
          <w:szCs w:val="20"/>
          <w:lang w:val="sr-Cyrl-CS"/>
        </w:rPr>
      </w:pPr>
      <w:r w:rsidRPr="008E10EB">
        <w:rPr>
          <w:b/>
          <w:iCs/>
          <w:color w:val="00B050"/>
          <w:sz w:val="20"/>
          <w:szCs w:val="20"/>
          <w:lang w:val="sr-Cyrl-CS"/>
        </w:rPr>
        <w:tab/>
      </w:r>
    </w:p>
    <w:p w:rsidR="00C44049" w:rsidRPr="008E10EB"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E10EB">
        <w:rPr>
          <w:b/>
          <w:sz w:val="20"/>
          <w:szCs w:val="20"/>
          <w:lang w:val="sr-Cyrl-CS"/>
        </w:rPr>
        <w:t xml:space="preserve">2.   </w:t>
      </w:r>
      <w:r w:rsidR="00C44049" w:rsidRPr="008E10EB">
        <w:rPr>
          <w:b/>
          <w:sz w:val="20"/>
          <w:szCs w:val="20"/>
          <w:lang w:val="sr-Cyrl-CS"/>
        </w:rPr>
        <w:t>Доказ</w:t>
      </w:r>
      <w:r w:rsidR="00C44049" w:rsidRPr="008E10EB">
        <w:rPr>
          <w:sz w:val="20"/>
          <w:szCs w:val="20"/>
          <w:lang w:val="sr-Cyrl-CS"/>
        </w:rPr>
        <w:t xml:space="preserve"> (д</w:t>
      </w:r>
      <w:r w:rsidR="00C44049" w:rsidRPr="008E10EB">
        <w:rPr>
          <w:b/>
          <w:sz w:val="20"/>
          <w:szCs w:val="20"/>
          <w:lang w:val="sr-Cyrl-CS"/>
        </w:rPr>
        <w:t>руги додатни у</w:t>
      </w:r>
      <w:r w:rsidR="00C44049" w:rsidRPr="008E10EB">
        <w:rPr>
          <w:b/>
          <w:iCs/>
          <w:sz w:val="20"/>
          <w:szCs w:val="20"/>
          <w:lang w:val="sr-Cyrl-CS"/>
        </w:rPr>
        <w:t xml:space="preserve">слов из члана </w:t>
      </w:r>
      <w:r w:rsidR="00C44049" w:rsidRPr="008E10EB">
        <w:rPr>
          <w:b/>
          <w:bCs/>
          <w:iCs/>
          <w:sz w:val="20"/>
          <w:szCs w:val="20"/>
          <w:lang w:val="sr-Cyrl-CS"/>
        </w:rPr>
        <w:t>76. ЗЈН)</w:t>
      </w:r>
      <w:r w:rsidR="00C44049" w:rsidRPr="008E10EB">
        <w:rPr>
          <w:rFonts w:eastAsia="Calibri"/>
          <w:b/>
          <w:bCs/>
          <w:sz w:val="20"/>
          <w:szCs w:val="20"/>
          <w:lang w:eastAsia="en-US"/>
        </w:rPr>
        <w:t xml:space="preserve"> </w:t>
      </w:r>
      <w:r w:rsidR="00C44049" w:rsidRPr="008E10EB">
        <w:rPr>
          <w:rFonts w:eastAsia="Calibri"/>
          <w:b/>
          <w:bCs/>
          <w:sz w:val="20"/>
          <w:szCs w:val="20"/>
          <w:lang w:val="sr-Cyrl-RS" w:eastAsia="en-US"/>
        </w:rPr>
        <w:t xml:space="preserve"> </w:t>
      </w:r>
    </w:p>
    <w:p w:rsidR="00C44049" w:rsidRPr="008E10EB"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E10EB" w:rsidRDefault="00FB4E52" w:rsidP="00866011">
      <w:pPr>
        <w:tabs>
          <w:tab w:val="left" w:pos="720"/>
        </w:tabs>
        <w:spacing w:line="276" w:lineRule="auto"/>
        <w:rPr>
          <w:i/>
          <w:sz w:val="20"/>
          <w:szCs w:val="20"/>
          <w:lang w:val="sr-Cyrl-RS"/>
        </w:rPr>
      </w:pPr>
      <w:r w:rsidRPr="008E10EB">
        <w:rPr>
          <w:i/>
          <w:sz w:val="20"/>
          <w:szCs w:val="20"/>
          <w:lang w:val="sr-Cyrl-CS"/>
        </w:rPr>
        <w:t>-</w:t>
      </w:r>
      <w:r w:rsidRPr="008E10EB">
        <w:rPr>
          <w:i/>
          <w:sz w:val="20"/>
          <w:szCs w:val="20"/>
        </w:rPr>
        <w:t xml:space="preserve"> </w:t>
      </w:r>
      <w:r w:rsidRPr="008E10EB">
        <w:rPr>
          <w:i/>
          <w:sz w:val="20"/>
          <w:szCs w:val="20"/>
          <w:lang w:val="sr-Cyrl-RS"/>
        </w:rPr>
        <w:t>Као доказ техничких карактеристика/спецификације предмета јавне набавке, п</w:t>
      </w:r>
      <w:r w:rsidRPr="008E10EB">
        <w:rPr>
          <w:i/>
          <w:sz w:val="20"/>
          <w:szCs w:val="20"/>
        </w:rPr>
        <w:t>онуђач је дужан да уз понуду достави каталог</w:t>
      </w:r>
      <w:r w:rsidRPr="008E10EB">
        <w:rPr>
          <w:i/>
          <w:sz w:val="20"/>
          <w:szCs w:val="20"/>
          <w:lang w:val="sr-Cyrl-RS"/>
        </w:rPr>
        <w:t xml:space="preserve"> </w:t>
      </w:r>
      <w:r w:rsidRPr="008E10EB">
        <w:rPr>
          <w:i/>
          <w:sz w:val="20"/>
          <w:szCs w:val="20"/>
          <w:lang w:val="sr-Cyrl-CS"/>
        </w:rPr>
        <w:t>(који издаје произвођач или дистрибутер)</w:t>
      </w:r>
      <w:r w:rsidRPr="008E10EB">
        <w:rPr>
          <w:i/>
          <w:sz w:val="20"/>
          <w:szCs w:val="20"/>
        </w:rPr>
        <w:t xml:space="preserve"> са детаљним </w:t>
      </w:r>
      <w:r w:rsidRPr="008E10EB">
        <w:rPr>
          <w:i/>
          <w:sz w:val="20"/>
          <w:szCs w:val="20"/>
          <w:lang w:val="sr-Cyrl-RS"/>
        </w:rPr>
        <w:t xml:space="preserve">техничким </w:t>
      </w:r>
      <w:r w:rsidRPr="008E10EB">
        <w:rPr>
          <w:i/>
          <w:sz w:val="20"/>
          <w:szCs w:val="20"/>
        </w:rPr>
        <w:t xml:space="preserve">карактеристикама производа </w:t>
      </w:r>
      <w:r w:rsidRPr="008E10EB">
        <w:rPr>
          <w:i/>
          <w:sz w:val="20"/>
          <w:szCs w:val="20"/>
        </w:rPr>
        <w:lastRenderedPageBreak/>
        <w:t>кој</w:t>
      </w:r>
      <w:r w:rsidRPr="008E10EB">
        <w:rPr>
          <w:i/>
          <w:sz w:val="20"/>
          <w:szCs w:val="20"/>
          <w:lang w:val="sr-Cyrl-RS"/>
        </w:rPr>
        <w:t>и се</w:t>
      </w:r>
      <w:r w:rsidRPr="008E10EB">
        <w:rPr>
          <w:i/>
          <w:sz w:val="20"/>
          <w:szCs w:val="20"/>
        </w:rPr>
        <w:t xml:space="preserve"> нуд</w:t>
      </w:r>
      <w:r w:rsidRPr="008E10EB">
        <w:rPr>
          <w:i/>
          <w:sz w:val="20"/>
          <w:szCs w:val="20"/>
          <w:lang w:val="sr-Cyrl-RS"/>
        </w:rPr>
        <w:t xml:space="preserve">е, у коме  исте требају да буду обележене </w:t>
      </w:r>
      <w:r w:rsidRPr="008E10EB">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E10EB" w:rsidRDefault="00FB4E52" w:rsidP="00FB4E52">
      <w:pPr>
        <w:rPr>
          <w:sz w:val="20"/>
          <w:szCs w:val="20"/>
          <w:lang w:val="sr-Cyrl-CS"/>
        </w:rPr>
      </w:pPr>
    </w:p>
    <w:p w:rsidR="00C44049" w:rsidRPr="008E10EB" w:rsidRDefault="00FB4E52" w:rsidP="00FB4E52">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8E10EB" w:rsidRDefault="00E84AAC" w:rsidP="00E84AAC">
      <w:pPr>
        <w:outlineLvl w:val="0"/>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Pr="008E10EB" w:rsidRDefault="00A52934"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Pr="008E10EB" w:rsidRDefault="005A49A1"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C21503" w:rsidRPr="0002430E" w:rsidRDefault="00C21503" w:rsidP="00D24EA7">
      <w:pPr>
        <w:rPr>
          <w:bCs/>
          <w:sz w:val="20"/>
          <w:szCs w:val="20"/>
          <w:lang w:val="sr-Cyrl-C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8E10EB" w:rsidRPr="008E10EB" w:rsidTr="008E10EB">
        <w:trPr>
          <w:trHeight w:val="410"/>
        </w:trPr>
        <w:tc>
          <w:tcPr>
            <w:tcW w:w="15468" w:type="dxa"/>
            <w:gridSpan w:val="10"/>
            <w:shd w:val="clear" w:color="auto" w:fill="auto"/>
            <w:vAlign w:val="center"/>
          </w:tcPr>
          <w:p w:rsidR="008E10EB" w:rsidRPr="0002430E" w:rsidRDefault="008E10EB" w:rsidP="002A0879">
            <w:pPr>
              <w:tabs>
                <w:tab w:val="clear" w:pos="1440"/>
              </w:tabs>
              <w:suppressAutoHyphens w:val="0"/>
              <w:jc w:val="center"/>
              <w:rPr>
                <w:b/>
                <w:bCs/>
                <w:sz w:val="18"/>
                <w:szCs w:val="18"/>
                <w:lang w:val="sr-Cyrl-CS" w:eastAsia="sr-Latn-CS"/>
              </w:rPr>
            </w:pPr>
            <w:r w:rsidRPr="0002430E">
              <w:rPr>
                <w:b/>
                <w:bCs/>
                <w:sz w:val="18"/>
                <w:szCs w:val="18"/>
                <w:lang w:val="sr-Cyrl-CS" w:eastAsia="sr-Latn-CS"/>
              </w:rPr>
              <w:lastRenderedPageBreak/>
              <w:t>СПЕЦИФИКАЦИЈА ДО</w:t>
            </w:r>
            <w:r w:rsidRPr="0002430E">
              <w:rPr>
                <w:b/>
                <w:bCs/>
                <w:sz w:val="18"/>
                <w:szCs w:val="18"/>
                <w:lang w:val="sr-Cyrl-RS" w:eastAsia="sr-Latn-CS"/>
              </w:rPr>
              <w:t>Б</w:t>
            </w:r>
            <w:r w:rsidRPr="0002430E">
              <w:rPr>
                <w:b/>
                <w:bCs/>
                <w:sz w:val="18"/>
                <w:szCs w:val="18"/>
                <w:lang w:val="sr-Cyrl-CS" w:eastAsia="sr-Latn-CS"/>
              </w:rPr>
              <w:t xml:space="preserve">РА – </w:t>
            </w:r>
            <w:r w:rsidRPr="0002430E">
              <w:rPr>
                <w:sz w:val="18"/>
                <w:szCs w:val="18"/>
              </w:rPr>
              <w:t xml:space="preserve">  </w:t>
            </w:r>
            <w:r w:rsidR="006A1EA4" w:rsidRPr="0002430E">
              <w:rPr>
                <w:b/>
                <w:bCs/>
                <w:sz w:val="18"/>
                <w:szCs w:val="18"/>
                <w:lang w:val="sr-Cyrl-CS" w:eastAsia="sr-Latn-CS"/>
              </w:rPr>
              <w:t>Медицинска средства за интервентну радиологију по партијама</w:t>
            </w:r>
            <w:r w:rsidRPr="0002430E">
              <w:rPr>
                <w:b/>
                <w:bCs/>
                <w:sz w:val="18"/>
                <w:szCs w:val="18"/>
                <w:lang w:val="sr-Cyrl-CS" w:eastAsia="sr-Latn-CS"/>
              </w:rPr>
              <w:t xml:space="preserve"> – </w:t>
            </w:r>
            <w:r w:rsidRPr="0002430E">
              <w:rPr>
                <w:sz w:val="18"/>
                <w:szCs w:val="18"/>
              </w:rPr>
              <w:t xml:space="preserve"> </w:t>
            </w:r>
            <w:r w:rsidR="00884128" w:rsidRPr="0002430E">
              <w:rPr>
                <w:b/>
                <w:bCs/>
                <w:sz w:val="18"/>
                <w:szCs w:val="18"/>
                <w:lang w:val="sr-Cyrl-CS" w:eastAsia="sr-Latn-CS"/>
              </w:rPr>
              <w:t>JН ОП 1Д/19</w:t>
            </w:r>
          </w:p>
          <w:p w:rsidR="008E10EB" w:rsidRPr="0002430E" w:rsidRDefault="008E10EB" w:rsidP="002A0879">
            <w:pPr>
              <w:tabs>
                <w:tab w:val="clear" w:pos="1440"/>
              </w:tabs>
              <w:suppressAutoHyphens w:val="0"/>
              <w:jc w:val="center"/>
              <w:rPr>
                <w:b/>
                <w:bCs/>
                <w:sz w:val="18"/>
                <w:szCs w:val="18"/>
                <w:lang w:val="sr-Cyrl-CS" w:eastAsia="sr-Latn-CS"/>
              </w:rPr>
            </w:pPr>
            <w:r w:rsidRPr="0002430E">
              <w:rPr>
                <w:i/>
                <w:sz w:val="18"/>
                <w:szCs w:val="18"/>
                <w:lang w:val="sr-Cyrl-CS"/>
              </w:rPr>
              <w:t>Понуђач попуњава тражене колоне и овереава печатом и потписом сваку партију на коју конкурише.</w:t>
            </w:r>
          </w:p>
        </w:tc>
      </w:tr>
      <w:tr w:rsidR="008E10EB" w:rsidRPr="002A0879" w:rsidTr="008E10EB">
        <w:trPr>
          <w:trHeight w:val="276"/>
        </w:trPr>
        <w:tc>
          <w:tcPr>
            <w:tcW w:w="494"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
                <w:bCs/>
                <w:sz w:val="18"/>
                <w:szCs w:val="18"/>
                <w:lang w:val="sr-Cyrl-CS" w:eastAsia="sr-Latn-CS"/>
              </w:rPr>
            </w:pPr>
            <w:r w:rsidRPr="0002430E">
              <w:rPr>
                <w:b/>
                <w:bCs/>
                <w:sz w:val="18"/>
                <w:szCs w:val="18"/>
                <w:lang w:val="sr-Latn-CS" w:eastAsia="sr-Latn-CS"/>
              </w:rPr>
              <w:t xml:space="preserve">Партија </w:t>
            </w:r>
            <w:r w:rsidRPr="0002430E">
              <w:rPr>
                <w:b/>
                <w:bCs/>
                <w:sz w:val="18"/>
                <w:szCs w:val="18"/>
                <w:lang w:val="sr-Cyrl-CS" w:eastAsia="sr-Latn-CS"/>
              </w:rPr>
              <w:t>1-</w:t>
            </w:r>
            <w:r w:rsidRPr="0002430E">
              <w:rPr>
                <w:sz w:val="18"/>
                <w:szCs w:val="18"/>
              </w:rPr>
              <w:t xml:space="preserve">  </w:t>
            </w:r>
            <w:r w:rsidR="008F7617" w:rsidRPr="0002430E">
              <w:rPr>
                <w:sz w:val="18"/>
                <w:szCs w:val="18"/>
              </w:rPr>
              <w:t xml:space="preserve"> </w:t>
            </w:r>
            <w:r w:rsidR="0002430E" w:rsidRPr="0002430E">
              <w:rPr>
                <w:sz w:val="18"/>
                <w:szCs w:val="18"/>
              </w:rPr>
              <w:t xml:space="preserve"> </w:t>
            </w:r>
            <w:r w:rsidR="0002430E" w:rsidRPr="0002430E">
              <w:rPr>
                <w:b/>
                <w:bCs/>
                <w:sz w:val="18"/>
                <w:szCs w:val="18"/>
                <w:lang w:val="sr-Cyrl-CS" w:eastAsia="sr-Latn-CS"/>
              </w:rPr>
              <w:t>Mikrosfere za embolizaciju od polieilen glikola, koje se pune citostatikom, dimenzija 100±25 µm, 200 ±50µm, 400±50µm</w:t>
            </w:r>
          </w:p>
        </w:tc>
        <w:tc>
          <w:tcPr>
            <w:tcW w:w="992"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vMerge w:val="restart"/>
            <w:shd w:val="clear" w:color="auto" w:fill="E5DFEC" w:themeFill="accent4" w:themeFillTint="33"/>
            <w:vAlign w:val="center"/>
            <w:hideMark/>
          </w:tcPr>
          <w:p w:rsidR="008E10EB"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008E10EB" w:rsidRPr="0002430E">
              <w:rPr>
                <w:bCs/>
                <w:sz w:val="18"/>
                <w:szCs w:val="18"/>
                <w:lang w:val="sr-Latn-CS" w:eastAsia="sr-Latn-CS"/>
              </w:rPr>
              <w:t>оличин</w:t>
            </w:r>
            <w:r w:rsidRPr="0002430E">
              <w:rPr>
                <w:bCs/>
                <w:sz w:val="18"/>
                <w:szCs w:val="18"/>
                <w:lang w:val="sr-Cyrl-CS" w:eastAsia="sr-Latn-CS"/>
              </w:rPr>
              <w:t>е</w:t>
            </w:r>
          </w:p>
        </w:tc>
        <w:tc>
          <w:tcPr>
            <w:tcW w:w="1845"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vMerge w:val="restart"/>
            <w:shd w:val="clear" w:color="auto" w:fill="E5DFEC" w:themeFill="accent4" w:themeFillTint="33"/>
            <w:vAlign w:val="center"/>
            <w:hideMark/>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43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420"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845"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929"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r>
      <w:tr w:rsidR="003A0FD3" w:rsidRPr="002A0879" w:rsidTr="008E10EB">
        <w:trPr>
          <w:trHeight w:val="816"/>
        </w:trPr>
        <w:tc>
          <w:tcPr>
            <w:tcW w:w="494" w:type="dxa"/>
            <w:shd w:val="clear" w:color="auto" w:fill="auto"/>
            <w:vAlign w:val="center"/>
            <w:hideMark/>
          </w:tcPr>
          <w:p w:rsidR="003A0FD3" w:rsidRPr="0002430E" w:rsidRDefault="003A0FD3"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1</w:t>
            </w:r>
          </w:p>
        </w:tc>
        <w:tc>
          <w:tcPr>
            <w:tcW w:w="4394" w:type="dxa"/>
            <w:shd w:val="clear" w:color="auto" w:fill="auto"/>
            <w:hideMark/>
          </w:tcPr>
          <w:p w:rsidR="003A0FD3" w:rsidRPr="0002430E" w:rsidRDefault="0002430E" w:rsidP="008271DF">
            <w:pPr>
              <w:autoSpaceDE w:val="0"/>
              <w:autoSpaceDN w:val="0"/>
              <w:adjustRightInd w:val="0"/>
              <w:rPr>
                <w:color w:val="000000"/>
                <w:sz w:val="18"/>
                <w:szCs w:val="18"/>
              </w:rPr>
            </w:pPr>
            <w:r w:rsidRPr="0002430E">
              <w:rPr>
                <w:color w:val="000000"/>
                <w:sz w:val="18"/>
                <w:szCs w:val="18"/>
              </w:rPr>
              <w:t>Mikrosfere za embolizaciju od polieilen glikola, koje se pune citostatikom, dimenzija 100±25 µm, 200 ±50µm, 400±50µm</w:t>
            </w:r>
          </w:p>
        </w:tc>
        <w:tc>
          <w:tcPr>
            <w:tcW w:w="992" w:type="dxa"/>
            <w:shd w:val="clear" w:color="auto" w:fill="auto"/>
            <w:hideMark/>
          </w:tcPr>
          <w:p w:rsidR="003A0FD3" w:rsidRPr="0002430E" w:rsidRDefault="003A0FD3"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hideMark/>
          </w:tcPr>
          <w:p w:rsidR="003A0FD3"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10</w:t>
            </w:r>
          </w:p>
        </w:tc>
        <w:tc>
          <w:tcPr>
            <w:tcW w:w="1845" w:type="dxa"/>
            <w:shd w:val="clear" w:color="auto" w:fill="auto"/>
            <w:vAlign w:val="center"/>
            <w:hideMark/>
          </w:tcPr>
          <w:p w:rsidR="003A0FD3" w:rsidRPr="0002430E" w:rsidRDefault="003A0FD3"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hideMark/>
          </w:tcPr>
          <w:p w:rsidR="003A0FD3" w:rsidRPr="0002430E" w:rsidRDefault="003A0FD3"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3A0FD3" w:rsidRPr="0002430E" w:rsidRDefault="003A0FD3"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hideMark/>
          </w:tcPr>
          <w:p w:rsidR="003A0FD3" w:rsidRPr="0002430E" w:rsidRDefault="003A0FD3"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3A0FD3" w:rsidRPr="0002430E" w:rsidRDefault="003A0FD3"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hideMark/>
          </w:tcPr>
          <w:p w:rsidR="003A0FD3" w:rsidRPr="0002430E" w:rsidRDefault="003A0FD3"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2A0879" w:rsidRPr="002A0879" w:rsidTr="008E10EB">
        <w:trPr>
          <w:trHeight w:val="276"/>
        </w:trPr>
        <w:tc>
          <w:tcPr>
            <w:tcW w:w="494"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
                <w:bCs/>
                <w:sz w:val="18"/>
                <w:szCs w:val="18"/>
                <w:lang w:val="sr-Latn-CS" w:eastAsia="sr-Latn-CS"/>
              </w:rPr>
            </w:pPr>
            <w:r w:rsidRPr="0002430E">
              <w:rPr>
                <w:b/>
                <w:bCs/>
                <w:sz w:val="18"/>
                <w:szCs w:val="18"/>
                <w:lang w:val="sr-Latn-CS" w:eastAsia="sr-Latn-CS"/>
              </w:rPr>
              <w:t xml:space="preserve">Партија </w:t>
            </w:r>
            <w:r w:rsidRPr="0002430E">
              <w:rPr>
                <w:b/>
                <w:bCs/>
                <w:sz w:val="18"/>
                <w:szCs w:val="18"/>
                <w:lang w:val="sr-Cyrl-CS" w:eastAsia="sr-Latn-CS"/>
              </w:rPr>
              <w:t>2-</w:t>
            </w:r>
            <w:r w:rsidRPr="0002430E">
              <w:rPr>
                <w:b/>
                <w:bCs/>
                <w:sz w:val="18"/>
                <w:szCs w:val="18"/>
                <w:lang w:val="sr-Latn-CS" w:eastAsia="sr-Latn-CS"/>
              </w:rPr>
              <w:t xml:space="preserve"> </w:t>
            </w:r>
            <w:r w:rsidRPr="0002430E">
              <w:rPr>
                <w:sz w:val="18"/>
                <w:szCs w:val="18"/>
              </w:rPr>
              <w:t xml:space="preserve"> </w:t>
            </w:r>
            <w:r w:rsidR="0002430E" w:rsidRPr="0002430E">
              <w:rPr>
                <w:b/>
                <w:sz w:val="18"/>
                <w:szCs w:val="18"/>
              </w:rPr>
              <w:t>Mikrosfere za administraciju leka od PVA, zapremine 2ml u bočici od 10ml, promera 70-150mikrona</w:t>
            </w:r>
          </w:p>
        </w:tc>
        <w:tc>
          <w:tcPr>
            <w:tcW w:w="992"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Pr="0002430E">
              <w:rPr>
                <w:bCs/>
                <w:sz w:val="18"/>
                <w:szCs w:val="18"/>
                <w:lang w:val="sr-Latn-CS" w:eastAsia="sr-Latn-CS"/>
              </w:rPr>
              <w:t>оличин</w:t>
            </w:r>
            <w:r w:rsidRPr="0002430E">
              <w:rPr>
                <w:bCs/>
                <w:sz w:val="18"/>
                <w:szCs w:val="18"/>
                <w:lang w:val="sr-Cyrl-CS" w:eastAsia="sr-Latn-CS"/>
              </w:rPr>
              <w:t>е</w:t>
            </w:r>
          </w:p>
        </w:tc>
        <w:tc>
          <w:tcPr>
            <w:tcW w:w="1845"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vMerge w:val="restart"/>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8E10EB" w:rsidRPr="002A0879" w:rsidTr="008E10EB">
        <w:trPr>
          <w:trHeight w:val="314"/>
        </w:trPr>
        <w:tc>
          <w:tcPr>
            <w:tcW w:w="4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43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420"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845"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929"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r>
      <w:tr w:rsidR="008F7617" w:rsidRPr="002A0879" w:rsidTr="006A1EA4">
        <w:trPr>
          <w:trHeight w:val="475"/>
        </w:trPr>
        <w:tc>
          <w:tcPr>
            <w:tcW w:w="494" w:type="dxa"/>
            <w:shd w:val="clear" w:color="auto" w:fill="auto"/>
            <w:vAlign w:val="center"/>
            <w:hideMark/>
          </w:tcPr>
          <w:p w:rsidR="008F7617" w:rsidRPr="0002430E" w:rsidRDefault="008F7617"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1</w:t>
            </w:r>
          </w:p>
        </w:tc>
        <w:tc>
          <w:tcPr>
            <w:tcW w:w="4394" w:type="dxa"/>
            <w:shd w:val="clear" w:color="auto" w:fill="auto"/>
            <w:vAlign w:val="center"/>
            <w:hideMark/>
          </w:tcPr>
          <w:p w:rsidR="008F7617" w:rsidRPr="0002430E" w:rsidRDefault="0002430E" w:rsidP="006A1EA4">
            <w:pPr>
              <w:rPr>
                <w:color w:val="000000"/>
                <w:sz w:val="18"/>
                <w:szCs w:val="18"/>
              </w:rPr>
            </w:pPr>
            <w:r w:rsidRPr="0002430E">
              <w:rPr>
                <w:color w:val="000000"/>
                <w:sz w:val="18"/>
                <w:szCs w:val="18"/>
              </w:rPr>
              <w:t>Mikrosfere za administraciju leka od PVA, zapremine 2ml u bočici od 10ml, promera 70-150mikrona</w:t>
            </w:r>
          </w:p>
        </w:tc>
        <w:tc>
          <w:tcPr>
            <w:tcW w:w="992" w:type="dxa"/>
            <w:shd w:val="clear" w:color="auto" w:fill="auto"/>
            <w:hideMark/>
          </w:tcPr>
          <w:p w:rsidR="008F7617" w:rsidRPr="0002430E" w:rsidRDefault="008F7617"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hideMark/>
          </w:tcPr>
          <w:p w:rsidR="008F7617"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10</w:t>
            </w:r>
          </w:p>
        </w:tc>
        <w:tc>
          <w:tcPr>
            <w:tcW w:w="1845" w:type="dxa"/>
            <w:shd w:val="clear" w:color="auto" w:fill="auto"/>
            <w:vAlign w:val="center"/>
            <w:hideMark/>
          </w:tcPr>
          <w:p w:rsidR="008F7617" w:rsidRPr="0002430E" w:rsidRDefault="008F7617"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hideMark/>
          </w:tcPr>
          <w:p w:rsidR="008F7617" w:rsidRPr="0002430E" w:rsidRDefault="008F761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8F7617" w:rsidRPr="0002430E" w:rsidRDefault="008F761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hideMark/>
          </w:tcPr>
          <w:p w:rsidR="008F7617" w:rsidRPr="0002430E" w:rsidRDefault="008F761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8F7617" w:rsidRPr="0002430E" w:rsidRDefault="008F761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hideMark/>
          </w:tcPr>
          <w:p w:rsidR="008F7617" w:rsidRPr="0002430E" w:rsidRDefault="008F761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2A0879" w:rsidRPr="002A0879" w:rsidTr="008E10EB">
        <w:trPr>
          <w:trHeight w:val="276"/>
        </w:trPr>
        <w:tc>
          <w:tcPr>
            <w:tcW w:w="494"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
                <w:bCs/>
                <w:sz w:val="18"/>
                <w:szCs w:val="18"/>
                <w:lang w:val="sr-Latn-RS" w:eastAsia="sr-Latn-CS"/>
              </w:rPr>
            </w:pPr>
            <w:r w:rsidRPr="0002430E">
              <w:rPr>
                <w:b/>
                <w:bCs/>
                <w:sz w:val="18"/>
                <w:szCs w:val="18"/>
                <w:lang w:val="sr-Latn-CS" w:eastAsia="sr-Latn-CS"/>
              </w:rPr>
              <w:t xml:space="preserve">Партија </w:t>
            </w:r>
            <w:r w:rsidRPr="0002430E">
              <w:rPr>
                <w:b/>
                <w:bCs/>
                <w:sz w:val="18"/>
                <w:szCs w:val="18"/>
                <w:lang w:val="sr-Cyrl-CS" w:eastAsia="sr-Latn-CS"/>
              </w:rPr>
              <w:t>3 -</w:t>
            </w:r>
            <w:r w:rsidRPr="0002430E">
              <w:rPr>
                <w:b/>
                <w:bCs/>
                <w:sz w:val="18"/>
                <w:szCs w:val="18"/>
                <w:lang w:val="sr-Latn-CS" w:eastAsia="sr-Latn-CS"/>
              </w:rPr>
              <w:t xml:space="preserve"> </w:t>
            </w:r>
            <w:r w:rsidRPr="0002430E">
              <w:rPr>
                <w:b/>
                <w:bCs/>
                <w:sz w:val="18"/>
                <w:szCs w:val="18"/>
                <w:lang w:val="sr-Cyrl-CS" w:eastAsia="sr-Latn-CS"/>
              </w:rPr>
              <w:t xml:space="preserve"> </w:t>
            </w:r>
            <w:r w:rsidRPr="0002430E">
              <w:rPr>
                <w:b/>
                <w:sz w:val="18"/>
                <w:szCs w:val="18"/>
              </w:rPr>
              <w:t xml:space="preserve">  </w:t>
            </w:r>
            <w:r w:rsidR="0002430E" w:rsidRPr="0002430E">
              <w:rPr>
                <w:b/>
                <w:sz w:val="18"/>
                <w:szCs w:val="18"/>
              </w:rPr>
              <w:t>Mikrosfere za punjenje lekom veličine 40 mikrona, 75 mikrona i 100 mikrona za 100mg leka u špricu od 2ml i 3ml</w:t>
            </w:r>
          </w:p>
        </w:tc>
        <w:tc>
          <w:tcPr>
            <w:tcW w:w="992"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Pr="0002430E">
              <w:rPr>
                <w:bCs/>
                <w:sz w:val="18"/>
                <w:szCs w:val="18"/>
                <w:lang w:val="sr-Latn-CS" w:eastAsia="sr-Latn-CS"/>
              </w:rPr>
              <w:t>оличин</w:t>
            </w:r>
            <w:r w:rsidRPr="0002430E">
              <w:rPr>
                <w:bCs/>
                <w:sz w:val="18"/>
                <w:szCs w:val="18"/>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439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420"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845"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992"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134"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c>
          <w:tcPr>
            <w:tcW w:w="1929" w:type="dxa"/>
            <w:vMerge/>
            <w:shd w:val="clear" w:color="auto" w:fill="E5DFEC" w:themeFill="accent4" w:themeFillTint="33"/>
            <w:vAlign w:val="center"/>
            <w:hideMark/>
          </w:tcPr>
          <w:p w:rsidR="008E10EB" w:rsidRPr="0002430E" w:rsidRDefault="008E10EB" w:rsidP="002A0879">
            <w:pPr>
              <w:tabs>
                <w:tab w:val="clear" w:pos="1440"/>
              </w:tabs>
              <w:suppressAutoHyphens w:val="0"/>
              <w:jc w:val="left"/>
              <w:rPr>
                <w:bCs/>
                <w:sz w:val="18"/>
                <w:szCs w:val="18"/>
                <w:lang w:val="sr-Latn-CS" w:eastAsia="sr-Latn-CS"/>
              </w:rPr>
            </w:pPr>
          </w:p>
        </w:tc>
      </w:tr>
      <w:tr w:rsidR="00942C1B" w:rsidRPr="002A0879" w:rsidTr="006A1EA4">
        <w:trPr>
          <w:trHeight w:val="424"/>
        </w:trPr>
        <w:tc>
          <w:tcPr>
            <w:tcW w:w="494" w:type="dxa"/>
            <w:shd w:val="clear" w:color="auto" w:fill="auto"/>
            <w:vAlign w:val="center"/>
            <w:hideMark/>
          </w:tcPr>
          <w:p w:rsidR="00942C1B" w:rsidRPr="0002430E" w:rsidRDefault="00942C1B" w:rsidP="002A0879">
            <w:pPr>
              <w:tabs>
                <w:tab w:val="clear" w:pos="1440"/>
              </w:tabs>
              <w:suppressAutoHyphens w:val="0"/>
              <w:jc w:val="center"/>
              <w:rPr>
                <w:bCs/>
                <w:color w:val="000000"/>
                <w:sz w:val="18"/>
                <w:szCs w:val="18"/>
                <w:lang w:val="sr-Cyrl-CS" w:eastAsia="sr-Latn-CS"/>
              </w:rPr>
            </w:pPr>
            <w:r w:rsidRPr="0002430E">
              <w:rPr>
                <w:bCs/>
                <w:color w:val="000000"/>
                <w:sz w:val="18"/>
                <w:szCs w:val="18"/>
                <w:lang w:val="sr-Cyrl-CS" w:eastAsia="sr-Latn-CS"/>
              </w:rPr>
              <w:t>1</w:t>
            </w:r>
          </w:p>
        </w:tc>
        <w:tc>
          <w:tcPr>
            <w:tcW w:w="4394" w:type="dxa"/>
            <w:shd w:val="clear" w:color="auto" w:fill="auto"/>
            <w:vAlign w:val="bottom"/>
            <w:hideMark/>
          </w:tcPr>
          <w:p w:rsidR="00942C1B" w:rsidRPr="0002430E" w:rsidRDefault="0002430E" w:rsidP="006A1EA4">
            <w:pPr>
              <w:rPr>
                <w:color w:val="000000"/>
                <w:sz w:val="18"/>
                <w:szCs w:val="18"/>
              </w:rPr>
            </w:pPr>
            <w:r w:rsidRPr="0002430E">
              <w:rPr>
                <w:color w:val="000000"/>
                <w:sz w:val="18"/>
                <w:szCs w:val="18"/>
              </w:rPr>
              <w:t>Mikrosfere za punjenje lekom veličine 40 mikrona, 75 mikrona i 100 mikrona za 100mg leka u špricu od 2ml i 3ml</w:t>
            </w:r>
          </w:p>
        </w:tc>
        <w:tc>
          <w:tcPr>
            <w:tcW w:w="992" w:type="dxa"/>
            <w:shd w:val="clear" w:color="auto" w:fill="auto"/>
            <w:hideMark/>
          </w:tcPr>
          <w:p w:rsidR="00942C1B" w:rsidRPr="0002430E" w:rsidRDefault="00942C1B"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hideMark/>
          </w:tcPr>
          <w:p w:rsidR="00942C1B"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10</w:t>
            </w:r>
          </w:p>
        </w:tc>
        <w:tc>
          <w:tcPr>
            <w:tcW w:w="1845" w:type="dxa"/>
            <w:shd w:val="clear" w:color="auto" w:fill="auto"/>
            <w:vAlign w:val="center"/>
            <w:hideMark/>
          </w:tcPr>
          <w:p w:rsidR="00942C1B" w:rsidRPr="0002430E" w:rsidRDefault="00942C1B"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hideMark/>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hideMark/>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hideMark/>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hideMark/>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shd w:val="clear" w:color="auto" w:fill="E5DFEC" w:themeFill="accent4" w:themeFillTint="33"/>
            <w:vAlign w:val="center"/>
          </w:tcPr>
          <w:p w:rsidR="002A0879" w:rsidRPr="0002430E" w:rsidRDefault="002A0879" w:rsidP="002A0879">
            <w:pPr>
              <w:tabs>
                <w:tab w:val="clear" w:pos="1440"/>
              </w:tabs>
              <w:suppressAutoHyphens w:val="0"/>
              <w:jc w:val="center"/>
              <w:rPr>
                <w:b/>
                <w:bCs/>
                <w:sz w:val="18"/>
                <w:szCs w:val="18"/>
                <w:lang w:eastAsia="sr-Latn-CS"/>
              </w:rPr>
            </w:pPr>
            <w:r w:rsidRPr="0002430E">
              <w:rPr>
                <w:b/>
                <w:bCs/>
                <w:sz w:val="18"/>
                <w:szCs w:val="18"/>
                <w:lang w:val="sr-Latn-CS" w:eastAsia="sr-Latn-CS"/>
              </w:rPr>
              <w:t xml:space="preserve">Партија </w:t>
            </w:r>
            <w:r w:rsidRPr="0002430E">
              <w:rPr>
                <w:b/>
                <w:bCs/>
                <w:sz w:val="18"/>
                <w:szCs w:val="18"/>
                <w:lang w:val="sr-Cyrl-CS" w:eastAsia="sr-Latn-CS"/>
              </w:rPr>
              <w:t>4-</w:t>
            </w:r>
            <w:r w:rsidRPr="0002430E">
              <w:rPr>
                <w:b/>
                <w:bCs/>
                <w:sz w:val="18"/>
                <w:szCs w:val="18"/>
                <w:lang w:val="sr-Latn-CS" w:eastAsia="sr-Latn-CS"/>
              </w:rPr>
              <w:t xml:space="preserve"> </w:t>
            </w:r>
            <w:r w:rsidRPr="0002430E">
              <w:rPr>
                <w:b/>
                <w:bCs/>
                <w:sz w:val="18"/>
                <w:szCs w:val="18"/>
                <w:lang w:val="sr-Cyrl-CS" w:eastAsia="sr-Latn-CS"/>
              </w:rPr>
              <w:t xml:space="preserve"> </w:t>
            </w:r>
            <w:r w:rsidRPr="0002430E">
              <w:rPr>
                <w:sz w:val="18"/>
                <w:szCs w:val="18"/>
              </w:rPr>
              <w:t xml:space="preserve"> </w:t>
            </w:r>
            <w:r w:rsidRPr="0002430E">
              <w:rPr>
                <w:b/>
                <w:sz w:val="18"/>
                <w:szCs w:val="18"/>
              </w:rPr>
              <w:t xml:space="preserve"> </w:t>
            </w:r>
            <w:r w:rsidR="0002430E" w:rsidRPr="0002430E">
              <w:rPr>
                <w:b/>
                <w:sz w:val="18"/>
                <w:szCs w:val="18"/>
              </w:rPr>
              <w:t>Mikrosfere za embolizaciju od polieilen glikola, dimenzija 75±30 µm, 200 ±75µm, 400±75µm, 600±75µm, 800±75µm i 1100±75µm</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Pr="0002430E">
              <w:rPr>
                <w:bCs/>
                <w:sz w:val="18"/>
                <w:szCs w:val="18"/>
                <w:lang w:val="sr-Latn-CS" w:eastAsia="sr-Latn-CS"/>
              </w:rPr>
              <w:t>оличин</w:t>
            </w:r>
            <w:r w:rsidRPr="0002430E">
              <w:rPr>
                <w:bCs/>
                <w:sz w:val="18"/>
                <w:szCs w:val="18"/>
                <w:lang w:val="sr-Cyrl-CS" w:eastAsia="sr-Latn-CS"/>
              </w:rPr>
              <w:t>е</w:t>
            </w:r>
          </w:p>
        </w:tc>
        <w:tc>
          <w:tcPr>
            <w:tcW w:w="1845"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942C1B" w:rsidRPr="002A0879" w:rsidTr="006A1EA4">
        <w:trPr>
          <w:trHeight w:val="113"/>
        </w:trPr>
        <w:tc>
          <w:tcPr>
            <w:tcW w:w="494" w:type="dxa"/>
            <w:shd w:val="clear" w:color="auto" w:fill="auto"/>
            <w:vAlign w:val="center"/>
          </w:tcPr>
          <w:p w:rsidR="00942C1B" w:rsidRPr="0002430E" w:rsidRDefault="00942C1B" w:rsidP="002A0879">
            <w:pPr>
              <w:tabs>
                <w:tab w:val="clear" w:pos="1440"/>
              </w:tabs>
              <w:suppressAutoHyphens w:val="0"/>
              <w:jc w:val="center"/>
              <w:rPr>
                <w:bCs/>
                <w:color w:val="000000"/>
                <w:sz w:val="18"/>
                <w:szCs w:val="18"/>
                <w:lang w:val="sr-Cyrl-CS" w:eastAsia="sr-Latn-CS"/>
              </w:rPr>
            </w:pPr>
            <w:r w:rsidRPr="0002430E">
              <w:rPr>
                <w:bCs/>
                <w:color w:val="000000"/>
                <w:sz w:val="18"/>
                <w:szCs w:val="18"/>
                <w:lang w:val="sr-Cyrl-CS" w:eastAsia="sr-Latn-CS"/>
              </w:rPr>
              <w:t>1</w:t>
            </w:r>
          </w:p>
        </w:tc>
        <w:tc>
          <w:tcPr>
            <w:tcW w:w="4394" w:type="dxa"/>
            <w:shd w:val="clear" w:color="auto" w:fill="auto"/>
            <w:vAlign w:val="bottom"/>
          </w:tcPr>
          <w:p w:rsidR="00942C1B" w:rsidRPr="0002430E" w:rsidRDefault="0002430E" w:rsidP="006A1EA4">
            <w:pPr>
              <w:rPr>
                <w:color w:val="000000"/>
                <w:sz w:val="18"/>
                <w:szCs w:val="18"/>
              </w:rPr>
            </w:pPr>
            <w:r w:rsidRPr="0002430E">
              <w:rPr>
                <w:color w:val="000000"/>
                <w:sz w:val="18"/>
                <w:szCs w:val="18"/>
              </w:rPr>
              <w:t>Mikrosfere za embolizaciju od polieilen glikola, dimenzija 75±30 µm, 200 ±75µm, 400±75µm, 600±75µm, 800±75µm i 1100±75µm</w:t>
            </w:r>
          </w:p>
        </w:tc>
        <w:tc>
          <w:tcPr>
            <w:tcW w:w="992" w:type="dxa"/>
            <w:shd w:val="clear" w:color="auto" w:fill="auto"/>
          </w:tcPr>
          <w:p w:rsidR="00942C1B" w:rsidRPr="0002430E" w:rsidRDefault="00942C1B"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tcPr>
          <w:p w:rsidR="00942C1B"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5</w:t>
            </w:r>
          </w:p>
        </w:tc>
        <w:tc>
          <w:tcPr>
            <w:tcW w:w="1845" w:type="dxa"/>
            <w:shd w:val="clear" w:color="auto" w:fill="auto"/>
            <w:vAlign w:val="center"/>
          </w:tcPr>
          <w:p w:rsidR="00942C1B" w:rsidRPr="0002430E" w:rsidRDefault="00942C1B"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shd w:val="clear" w:color="auto" w:fill="E5DFEC" w:themeFill="accent4" w:themeFillTint="33"/>
            <w:vAlign w:val="center"/>
          </w:tcPr>
          <w:p w:rsidR="002A0879" w:rsidRPr="0002430E" w:rsidRDefault="002A0879" w:rsidP="002A0879">
            <w:pPr>
              <w:tabs>
                <w:tab w:val="clear" w:pos="1440"/>
              </w:tabs>
              <w:suppressAutoHyphens w:val="0"/>
              <w:jc w:val="center"/>
              <w:rPr>
                <w:b/>
                <w:bCs/>
                <w:sz w:val="18"/>
                <w:szCs w:val="18"/>
                <w:lang w:val="sr-Latn-RS" w:eastAsia="sr-Latn-CS"/>
              </w:rPr>
            </w:pPr>
            <w:r w:rsidRPr="0002430E">
              <w:rPr>
                <w:b/>
                <w:bCs/>
                <w:sz w:val="18"/>
                <w:szCs w:val="18"/>
                <w:lang w:val="sr-Latn-CS" w:eastAsia="sr-Latn-CS"/>
              </w:rPr>
              <w:t xml:space="preserve">Партија </w:t>
            </w:r>
            <w:r w:rsidRPr="0002430E">
              <w:rPr>
                <w:b/>
                <w:bCs/>
                <w:sz w:val="18"/>
                <w:szCs w:val="18"/>
                <w:lang w:val="sr-Cyrl-CS" w:eastAsia="sr-Latn-CS"/>
              </w:rPr>
              <w:t>5-</w:t>
            </w:r>
            <w:r w:rsidRPr="0002430E">
              <w:rPr>
                <w:b/>
                <w:bCs/>
                <w:sz w:val="18"/>
                <w:szCs w:val="18"/>
                <w:lang w:val="sr-Latn-CS" w:eastAsia="sr-Latn-CS"/>
              </w:rPr>
              <w:t xml:space="preserve"> </w:t>
            </w:r>
            <w:r w:rsidRPr="0002430E">
              <w:rPr>
                <w:b/>
                <w:bCs/>
                <w:sz w:val="18"/>
                <w:szCs w:val="18"/>
                <w:lang w:val="sr-Cyrl-CS" w:eastAsia="sr-Latn-CS"/>
              </w:rPr>
              <w:t xml:space="preserve"> </w:t>
            </w:r>
            <w:r w:rsidRPr="0002430E">
              <w:rPr>
                <w:sz w:val="18"/>
                <w:szCs w:val="18"/>
              </w:rPr>
              <w:t xml:space="preserve">  </w:t>
            </w:r>
            <w:r w:rsidRPr="0002430E">
              <w:rPr>
                <w:b/>
                <w:sz w:val="18"/>
                <w:szCs w:val="18"/>
              </w:rPr>
              <w:t xml:space="preserve"> </w:t>
            </w:r>
            <w:r w:rsidR="0002430E" w:rsidRPr="0002430E">
              <w:rPr>
                <w:b/>
                <w:sz w:val="18"/>
                <w:szCs w:val="18"/>
              </w:rPr>
              <w:t xml:space="preserve"> </w:t>
            </w:r>
            <w:r w:rsidR="0002430E" w:rsidRPr="0002430E">
              <w:rPr>
                <w:b/>
                <w:color w:val="000000"/>
                <w:sz w:val="18"/>
                <w:szCs w:val="18"/>
              </w:rPr>
              <w:t>Mikrosfere za embolizaciju izrađene od polivinil akrilamid polimera, promera od 10 do 1200 mikrona, zapremine 2ml, pripremljenje za upotrebu u špricu od 20ml</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Pr="0002430E">
              <w:rPr>
                <w:bCs/>
                <w:sz w:val="18"/>
                <w:szCs w:val="18"/>
                <w:lang w:val="sr-Latn-CS" w:eastAsia="sr-Latn-CS"/>
              </w:rPr>
              <w:t>оличин</w:t>
            </w:r>
            <w:r w:rsidRPr="0002430E">
              <w:rPr>
                <w:bCs/>
                <w:sz w:val="18"/>
                <w:szCs w:val="18"/>
                <w:lang w:val="sr-Cyrl-CS" w:eastAsia="sr-Latn-CS"/>
              </w:rPr>
              <w:t>е</w:t>
            </w:r>
          </w:p>
        </w:tc>
        <w:tc>
          <w:tcPr>
            <w:tcW w:w="1845"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942C1B" w:rsidRPr="002A0879" w:rsidTr="006A1EA4">
        <w:trPr>
          <w:trHeight w:val="113"/>
        </w:trPr>
        <w:tc>
          <w:tcPr>
            <w:tcW w:w="494" w:type="dxa"/>
            <w:shd w:val="clear" w:color="auto" w:fill="auto"/>
            <w:vAlign w:val="center"/>
          </w:tcPr>
          <w:p w:rsidR="00942C1B" w:rsidRPr="0002430E" w:rsidRDefault="00942C1B" w:rsidP="002A0879">
            <w:pPr>
              <w:tabs>
                <w:tab w:val="clear" w:pos="1440"/>
              </w:tabs>
              <w:suppressAutoHyphens w:val="0"/>
              <w:jc w:val="center"/>
              <w:rPr>
                <w:bCs/>
                <w:color w:val="000000"/>
                <w:sz w:val="18"/>
                <w:szCs w:val="18"/>
                <w:lang w:val="sr-Cyrl-CS" w:eastAsia="sr-Latn-CS"/>
              </w:rPr>
            </w:pPr>
            <w:r w:rsidRPr="0002430E">
              <w:rPr>
                <w:bCs/>
                <w:color w:val="000000"/>
                <w:sz w:val="18"/>
                <w:szCs w:val="18"/>
                <w:lang w:val="sr-Cyrl-CS" w:eastAsia="sr-Latn-CS"/>
              </w:rPr>
              <w:t>1</w:t>
            </w:r>
          </w:p>
        </w:tc>
        <w:tc>
          <w:tcPr>
            <w:tcW w:w="4394" w:type="dxa"/>
            <w:shd w:val="clear" w:color="auto" w:fill="auto"/>
            <w:vAlign w:val="bottom"/>
          </w:tcPr>
          <w:p w:rsidR="00942C1B" w:rsidRPr="0002430E" w:rsidRDefault="0002430E" w:rsidP="006A1EA4">
            <w:pPr>
              <w:rPr>
                <w:color w:val="000000"/>
                <w:sz w:val="18"/>
                <w:szCs w:val="18"/>
              </w:rPr>
            </w:pPr>
            <w:r w:rsidRPr="0002430E">
              <w:rPr>
                <w:color w:val="000000"/>
                <w:sz w:val="18"/>
                <w:szCs w:val="18"/>
              </w:rPr>
              <w:t>Mikrosfere za embolizaciju izrađene od polivinil akrilamid polimera, promera od 10 do 1200 mikrona, zapremine 2ml, pripremljenje za upotrebu u špricu od 20ml</w:t>
            </w:r>
          </w:p>
        </w:tc>
        <w:tc>
          <w:tcPr>
            <w:tcW w:w="992" w:type="dxa"/>
            <w:shd w:val="clear" w:color="auto" w:fill="auto"/>
          </w:tcPr>
          <w:p w:rsidR="00942C1B" w:rsidRPr="0002430E" w:rsidRDefault="00942C1B"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tcPr>
          <w:p w:rsidR="00942C1B"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5</w:t>
            </w:r>
          </w:p>
        </w:tc>
        <w:tc>
          <w:tcPr>
            <w:tcW w:w="1845" w:type="dxa"/>
            <w:shd w:val="clear" w:color="auto" w:fill="auto"/>
            <w:vAlign w:val="center"/>
          </w:tcPr>
          <w:p w:rsidR="00942C1B" w:rsidRPr="0002430E" w:rsidRDefault="00942C1B"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tcPr>
          <w:p w:rsidR="00942C1B" w:rsidRPr="0002430E" w:rsidRDefault="00942C1B"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Р. број</w:t>
            </w:r>
          </w:p>
        </w:tc>
        <w:tc>
          <w:tcPr>
            <w:tcW w:w="4394" w:type="dxa"/>
            <w:shd w:val="clear" w:color="auto" w:fill="E5DFEC" w:themeFill="accent4" w:themeFillTint="33"/>
            <w:vAlign w:val="center"/>
          </w:tcPr>
          <w:p w:rsidR="002A0879" w:rsidRPr="0002430E" w:rsidRDefault="002A0879" w:rsidP="002A0879">
            <w:pPr>
              <w:tabs>
                <w:tab w:val="clear" w:pos="1440"/>
              </w:tabs>
              <w:suppressAutoHyphens w:val="0"/>
              <w:jc w:val="center"/>
              <w:rPr>
                <w:b/>
                <w:bCs/>
                <w:sz w:val="18"/>
                <w:szCs w:val="18"/>
                <w:lang w:val="sr-Latn-RS" w:eastAsia="sr-Latn-CS"/>
              </w:rPr>
            </w:pPr>
            <w:r w:rsidRPr="0002430E">
              <w:rPr>
                <w:b/>
                <w:bCs/>
                <w:sz w:val="18"/>
                <w:szCs w:val="18"/>
                <w:lang w:val="sr-Latn-CS" w:eastAsia="sr-Latn-CS"/>
              </w:rPr>
              <w:t xml:space="preserve">Партија </w:t>
            </w:r>
            <w:r w:rsidRPr="0002430E">
              <w:rPr>
                <w:b/>
                <w:bCs/>
                <w:sz w:val="18"/>
                <w:szCs w:val="18"/>
                <w:lang w:val="sr-Cyrl-CS" w:eastAsia="sr-Latn-CS"/>
              </w:rPr>
              <w:t>6-</w:t>
            </w:r>
            <w:r w:rsidRPr="0002430E">
              <w:rPr>
                <w:b/>
                <w:bCs/>
                <w:sz w:val="18"/>
                <w:szCs w:val="18"/>
                <w:lang w:val="sr-Latn-CS" w:eastAsia="sr-Latn-CS"/>
              </w:rPr>
              <w:t xml:space="preserve"> </w:t>
            </w:r>
            <w:r w:rsidRPr="0002430E">
              <w:rPr>
                <w:b/>
                <w:bCs/>
                <w:sz w:val="18"/>
                <w:szCs w:val="18"/>
                <w:lang w:val="sr-Cyrl-CS" w:eastAsia="sr-Latn-CS"/>
              </w:rPr>
              <w:t xml:space="preserve"> </w:t>
            </w:r>
            <w:r w:rsidRPr="0002430E">
              <w:rPr>
                <w:b/>
                <w:sz w:val="18"/>
                <w:szCs w:val="18"/>
              </w:rPr>
              <w:t xml:space="preserve"> </w:t>
            </w:r>
            <w:r w:rsidR="0002430E" w:rsidRPr="0002430E">
              <w:rPr>
                <w:b/>
                <w:color w:val="000000"/>
                <w:sz w:val="18"/>
                <w:szCs w:val="18"/>
              </w:rPr>
              <w:t>Mikrosfere za embolizaciju veličine od 40 do 1300 mikrona, napravljene od acryl copolymera sa želatinom za embolizaciju hipervaskularnih tumora, uterinih fibroida, hepatocelularnih karcinoma, dostupne u pakovanju od 1ml i 2ml, u špricu pripremljene i u boci suve</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Cyrl-CS" w:eastAsia="sr-Latn-CS"/>
              </w:rPr>
            </w:pPr>
            <w:r w:rsidRPr="0002430E">
              <w:rPr>
                <w:bCs/>
                <w:sz w:val="18"/>
                <w:szCs w:val="18"/>
                <w:lang w:eastAsia="sr-Latn-CS"/>
              </w:rPr>
              <w:t>O</w:t>
            </w:r>
            <w:r w:rsidRPr="0002430E">
              <w:rPr>
                <w:bCs/>
                <w:sz w:val="18"/>
                <w:szCs w:val="18"/>
                <w:lang w:val="sr-Cyrl-CS" w:eastAsia="sr-Latn-CS"/>
              </w:rPr>
              <w:t>квирне к</w:t>
            </w:r>
            <w:r w:rsidRPr="0002430E">
              <w:rPr>
                <w:bCs/>
                <w:sz w:val="18"/>
                <w:szCs w:val="18"/>
                <w:lang w:val="sr-Latn-CS" w:eastAsia="sr-Latn-CS"/>
              </w:rPr>
              <w:t>оличин</w:t>
            </w:r>
            <w:r w:rsidRPr="0002430E">
              <w:rPr>
                <w:bCs/>
                <w:sz w:val="18"/>
                <w:szCs w:val="18"/>
                <w:lang w:val="sr-Cyrl-CS" w:eastAsia="sr-Latn-CS"/>
              </w:rPr>
              <w:t>е</w:t>
            </w:r>
          </w:p>
        </w:tc>
        <w:tc>
          <w:tcPr>
            <w:tcW w:w="1845"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shd w:val="clear" w:color="auto" w:fill="E5DFEC" w:themeFill="accent4" w:themeFillTint="33"/>
            <w:vAlign w:val="center"/>
          </w:tcPr>
          <w:p w:rsidR="002A0879"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02430E" w:rsidRDefault="00314F2C" w:rsidP="002A0879">
            <w:pPr>
              <w:tabs>
                <w:tab w:val="clear" w:pos="1440"/>
              </w:tabs>
              <w:suppressAutoHyphens w:val="0"/>
              <w:jc w:val="center"/>
              <w:rPr>
                <w:bCs/>
                <w:color w:val="000000"/>
                <w:sz w:val="18"/>
                <w:szCs w:val="18"/>
                <w:lang w:val="sr-Cyrl-CS" w:eastAsia="sr-Latn-CS"/>
              </w:rPr>
            </w:pPr>
            <w:r w:rsidRPr="0002430E">
              <w:rPr>
                <w:bCs/>
                <w:color w:val="000000"/>
                <w:sz w:val="18"/>
                <w:szCs w:val="18"/>
                <w:lang w:val="sr-Cyrl-CS" w:eastAsia="sr-Latn-CS"/>
              </w:rPr>
              <w:t>1</w:t>
            </w:r>
          </w:p>
        </w:tc>
        <w:tc>
          <w:tcPr>
            <w:tcW w:w="4394" w:type="dxa"/>
            <w:shd w:val="clear" w:color="auto" w:fill="auto"/>
          </w:tcPr>
          <w:p w:rsidR="00314F2C" w:rsidRPr="0002430E" w:rsidRDefault="0002430E" w:rsidP="008271DF">
            <w:pPr>
              <w:autoSpaceDE w:val="0"/>
              <w:autoSpaceDN w:val="0"/>
              <w:adjustRightInd w:val="0"/>
              <w:rPr>
                <w:color w:val="000000"/>
                <w:sz w:val="18"/>
                <w:szCs w:val="18"/>
              </w:rPr>
            </w:pPr>
            <w:r w:rsidRPr="0002430E">
              <w:rPr>
                <w:color w:val="000000"/>
                <w:sz w:val="18"/>
                <w:szCs w:val="18"/>
              </w:rPr>
              <w:t xml:space="preserve">Mikrosfere za embolizaciju veličine od 40 do 1300 mikrona, napravljene od acryl copolymera sa želatinom za embolizaciju hipervaskularnih tumora, uterinih fibroida, </w:t>
            </w:r>
            <w:r w:rsidRPr="0002430E">
              <w:rPr>
                <w:color w:val="000000"/>
                <w:sz w:val="18"/>
                <w:szCs w:val="18"/>
              </w:rPr>
              <w:lastRenderedPageBreak/>
              <w:t>hepatocelularnih karcinoma, dostupne u pakovanju od 1ml i 2ml, u špricu pripremljene i u boci suve</w:t>
            </w:r>
          </w:p>
        </w:tc>
        <w:tc>
          <w:tcPr>
            <w:tcW w:w="992" w:type="dxa"/>
            <w:shd w:val="clear" w:color="auto" w:fill="auto"/>
          </w:tcPr>
          <w:p w:rsidR="00314F2C" w:rsidRPr="0002430E" w:rsidRDefault="00314F2C" w:rsidP="008271DF">
            <w:pPr>
              <w:autoSpaceDE w:val="0"/>
              <w:autoSpaceDN w:val="0"/>
              <w:adjustRightInd w:val="0"/>
              <w:jc w:val="center"/>
              <w:rPr>
                <w:color w:val="000000"/>
                <w:sz w:val="18"/>
                <w:szCs w:val="18"/>
              </w:rPr>
            </w:pPr>
            <w:r w:rsidRPr="0002430E">
              <w:rPr>
                <w:color w:val="000000"/>
                <w:sz w:val="18"/>
                <w:szCs w:val="18"/>
              </w:rPr>
              <w:lastRenderedPageBreak/>
              <w:t>kom</w:t>
            </w:r>
          </w:p>
        </w:tc>
        <w:tc>
          <w:tcPr>
            <w:tcW w:w="1420" w:type="dxa"/>
            <w:shd w:val="clear" w:color="auto" w:fill="auto"/>
          </w:tcPr>
          <w:p w:rsidR="00314F2C"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5</w:t>
            </w:r>
          </w:p>
        </w:tc>
        <w:tc>
          <w:tcPr>
            <w:tcW w:w="1845" w:type="dxa"/>
            <w:shd w:val="clear" w:color="auto" w:fill="auto"/>
            <w:vAlign w:val="center"/>
          </w:tcPr>
          <w:p w:rsidR="00314F2C" w:rsidRPr="0002430E" w:rsidRDefault="00314F2C"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tcPr>
          <w:p w:rsidR="00314F2C" w:rsidRPr="0002430E" w:rsidRDefault="00314F2C"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314F2C" w:rsidRPr="0002430E" w:rsidRDefault="00314F2C"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tcPr>
          <w:p w:rsidR="00314F2C" w:rsidRPr="0002430E" w:rsidRDefault="00314F2C"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314F2C" w:rsidRPr="0002430E" w:rsidRDefault="00314F2C"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tcPr>
          <w:p w:rsidR="00314F2C" w:rsidRPr="0002430E" w:rsidRDefault="00314F2C"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r w:rsidR="008E10EB" w:rsidRPr="002A0879" w:rsidTr="008E10EB">
        <w:trPr>
          <w:trHeight w:val="113"/>
        </w:trPr>
        <w:tc>
          <w:tcPr>
            <w:tcW w:w="494"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lastRenderedPageBreak/>
              <w:t>Р. број</w:t>
            </w:r>
          </w:p>
        </w:tc>
        <w:tc>
          <w:tcPr>
            <w:tcW w:w="4394" w:type="dxa"/>
            <w:shd w:val="clear" w:color="auto" w:fill="E5DFEC" w:themeFill="accent4" w:themeFillTint="33"/>
            <w:vAlign w:val="center"/>
          </w:tcPr>
          <w:p w:rsidR="008E10EB" w:rsidRPr="0002430E" w:rsidRDefault="008E10EB" w:rsidP="002A0879">
            <w:pPr>
              <w:tabs>
                <w:tab w:val="clear" w:pos="1440"/>
              </w:tabs>
              <w:suppressAutoHyphens w:val="0"/>
              <w:jc w:val="center"/>
              <w:rPr>
                <w:b/>
                <w:bCs/>
                <w:sz w:val="18"/>
                <w:szCs w:val="18"/>
                <w:lang w:val="sr-Latn-RS" w:eastAsia="sr-Latn-CS"/>
              </w:rPr>
            </w:pPr>
            <w:r w:rsidRPr="0002430E">
              <w:rPr>
                <w:b/>
                <w:bCs/>
                <w:sz w:val="18"/>
                <w:szCs w:val="18"/>
                <w:lang w:val="sr-Latn-CS" w:eastAsia="sr-Latn-CS"/>
              </w:rPr>
              <w:t xml:space="preserve">Партија </w:t>
            </w:r>
            <w:r w:rsidRPr="0002430E">
              <w:rPr>
                <w:b/>
                <w:bCs/>
                <w:sz w:val="18"/>
                <w:szCs w:val="18"/>
                <w:lang w:val="sr-Cyrl-CS" w:eastAsia="sr-Latn-CS"/>
              </w:rPr>
              <w:t>7 -</w:t>
            </w:r>
            <w:r w:rsidRPr="0002430E">
              <w:rPr>
                <w:b/>
                <w:bCs/>
                <w:sz w:val="18"/>
                <w:szCs w:val="18"/>
                <w:lang w:val="sr-Latn-CS" w:eastAsia="sr-Latn-CS"/>
              </w:rPr>
              <w:t xml:space="preserve"> </w:t>
            </w:r>
            <w:r w:rsidRPr="0002430E">
              <w:rPr>
                <w:b/>
                <w:bCs/>
                <w:sz w:val="18"/>
                <w:szCs w:val="18"/>
                <w:lang w:val="sr-Cyrl-CS" w:eastAsia="sr-Latn-CS"/>
              </w:rPr>
              <w:t xml:space="preserve"> </w:t>
            </w:r>
            <w:r w:rsidRPr="0002430E">
              <w:rPr>
                <w:sz w:val="18"/>
                <w:szCs w:val="18"/>
              </w:rPr>
              <w:t xml:space="preserve"> </w:t>
            </w:r>
            <w:r w:rsidR="00220787" w:rsidRPr="0002430E">
              <w:rPr>
                <w:sz w:val="18"/>
                <w:szCs w:val="18"/>
              </w:rPr>
              <w:t xml:space="preserve"> </w:t>
            </w:r>
            <w:r w:rsidR="00942C1B" w:rsidRPr="0002430E">
              <w:rPr>
                <w:b/>
                <w:color w:val="000000"/>
                <w:sz w:val="18"/>
                <w:szCs w:val="18"/>
              </w:rPr>
              <w:t xml:space="preserve"> </w:t>
            </w:r>
            <w:r w:rsidR="0002430E" w:rsidRPr="0002430E">
              <w:rPr>
                <w:sz w:val="18"/>
                <w:szCs w:val="18"/>
              </w:rPr>
              <w:t xml:space="preserve"> </w:t>
            </w:r>
            <w:r w:rsidR="0002430E" w:rsidRPr="0002430E">
              <w:rPr>
                <w:b/>
                <w:color w:val="000000"/>
                <w:sz w:val="18"/>
                <w:szCs w:val="18"/>
              </w:rPr>
              <w:t>Koaksijalni mikrokateterski set dijamtra 2,7 Fr dužine 110 ili 130 cm u setu sa vodičem od 0,021', sa hidrofilnim coatingom i markerom na vrhu</w:t>
            </w:r>
          </w:p>
        </w:tc>
        <w:tc>
          <w:tcPr>
            <w:tcW w:w="992"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Јединица мере</w:t>
            </w:r>
          </w:p>
        </w:tc>
        <w:tc>
          <w:tcPr>
            <w:tcW w:w="1420" w:type="dxa"/>
            <w:shd w:val="clear" w:color="auto" w:fill="E5DFEC" w:themeFill="accent4" w:themeFillTint="33"/>
            <w:vAlign w:val="center"/>
          </w:tcPr>
          <w:p w:rsidR="008E10EB" w:rsidRPr="0002430E" w:rsidRDefault="002A0879" w:rsidP="002A0879">
            <w:pPr>
              <w:tabs>
                <w:tab w:val="clear" w:pos="1440"/>
              </w:tabs>
              <w:suppressAutoHyphens w:val="0"/>
              <w:jc w:val="center"/>
              <w:rPr>
                <w:bCs/>
                <w:sz w:val="18"/>
                <w:szCs w:val="18"/>
                <w:lang w:val="sr-Latn-CS" w:eastAsia="sr-Latn-CS"/>
              </w:rPr>
            </w:pPr>
            <w:r w:rsidRPr="0002430E">
              <w:rPr>
                <w:bCs/>
                <w:sz w:val="18"/>
                <w:szCs w:val="18"/>
                <w:lang w:val="sr-Cyrl-RS" w:eastAsia="sr-Latn-CS"/>
              </w:rPr>
              <w:t>Oквирне количине</w:t>
            </w:r>
          </w:p>
        </w:tc>
        <w:tc>
          <w:tcPr>
            <w:tcW w:w="1845"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без ПДВ-а</w:t>
            </w:r>
          </w:p>
        </w:tc>
        <w:tc>
          <w:tcPr>
            <w:tcW w:w="1134"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Јединична цена са ПДВ</w:t>
            </w:r>
          </w:p>
        </w:tc>
        <w:tc>
          <w:tcPr>
            <w:tcW w:w="1134"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без ПДВ</w:t>
            </w:r>
          </w:p>
        </w:tc>
        <w:tc>
          <w:tcPr>
            <w:tcW w:w="992"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Укупан износ ПДВ</w:t>
            </w:r>
          </w:p>
        </w:tc>
        <w:tc>
          <w:tcPr>
            <w:tcW w:w="1134"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Укупна  цена са ПДВ</w:t>
            </w:r>
          </w:p>
        </w:tc>
        <w:tc>
          <w:tcPr>
            <w:tcW w:w="1929" w:type="dxa"/>
            <w:shd w:val="clear" w:color="auto" w:fill="E5DFEC" w:themeFill="accent4" w:themeFillTint="33"/>
            <w:vAlign w:val="center"/>
          </w:tcPr>
          <w:p w:rsidR="008E10EB" w:rsidRPr="0002430E" w:rsidRDefault="008E10EB" w:rsidP="002A0879">
            <w:pPr>
              <w:tabs>
                <w:tab w:val="clear" w:pos="1440"/>
              </w:tabs>
              <w:suppressAutoHyphens w:val="0"/>
              <w:jc w:val="center"/>
              <w:rPr>
                <w:bCs/>
                <w:sz w:val="18"/>
                <w:szCs w:val="18"/>
                <w:lang w:val="sr-Latn-CS" w:eastAsia="sr-Latn-CS"/>
              </w:rPr>
            </w:pPr>
            <w:r w:rsidRPr="0002430E">
              <w:rPr>
                <w:bCs/>
                <w:sz w:val="18"/>
                <w:szCs w:val="18"/>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02430E" w:rsidRDefault="00220787" w:rsidP="002A0879">
            <w:pPr>
              <w:tabs>
                <w:tab w:val="clear" w:pos="1440"/>
              </w:tabs>
              <w:suppressAutoHyphens w:val="0"/>
              <w:jc w:val="center"/>
              <w:rPr>
                <w:bCs/>
                <w:color w:val="000000"/>
                <w:sz w:val="18"/>
                <w:szCs w:val="18"/>
                <w:lang w:val="sr-Cyrl-CS" w:eastAsia="sr-Latn-CS"/>
              </w:rPr>
            </w:pPr>
            <w:r w:rsidRPr="0002430E">
              <w:rPr>
                <w:bCs/>
                <w:color w:val="000000"/>
                <w:sz w:val="18"/>
                <w:szCs w:val="18"/>
                <w:lang w:val="sr-Cyrl-CS" w:eastAsia="sr-Latn-CS"/>
              </w:rPr>
              <w:t>1</w:t>
            </w:r>
          </w:p>
        </w:tc>
        <w:tc>
          <w:tcPr>
            <w:tcW w:w="4394" w:type="dxa"/>
            <w:shd w:val="clear" w:color="auto" w:fill="auto"/>
          </w:tcPr>
          <w:p w:rsidR="00220787" w:rsidRPr="0002430E" w:rsidRDefault="0002430E" w:rsidP="008271DF">
            <w:pPr>
              <w:autoSpaceDE w:val="0"/>
              <w:autoSpaceDN w:val="0"/>
              <w:adjustRightInd w:val="0"/>
              <w:rPr>
                <w:color w:val="000000"/>
                <w:sz w:val="18"/>
                <w:szCs w:val="18"/>
              </w:rPr>
            </w:pPr>
            <w:r w:rsidRPr="0002430E">
              <w:rPr>
                <w:color w:val="000000"/>
                <w:sz w:val="18"/>
                <w:szCs w:val="18"/>
              </w:rPr>
              <w:t>Koaksijalni mikrokateterski set dijamtra 2,7 Fr dužine 110 ili 130 cm u setu sa vodičem od 0,021', sa hidrofilnim coatingom i markerom na vrhu</w:t>
            </w:r>
          </w:p>
        </w:tc>
        <w:tc>
          <w:tcPr>
            <w:tcW w:w="992" w:type="dxa"/>
            <w:shd w:val="clear" w:color="auto" w:fill="auto"/>
          </w:tcPr>
          <w:p w:rsidR="00220787" w:rsidRPr="0002430E" w:rsidRDefault="00220787" w:rsidP="008271DF">
            <w:pPr>
              <w:autoSpaceDE w:val="0"/>
              <w:autoSpaceDN w:val="0"/>
              <w:adjustRightInd w:val="0"/>
              <w:jc w:val="center"/>
              <w:rPr>
                <w:color w:val="000000"/>
                <w:sz w:val="18"/>
                <w:szCs w:val="18"/>
              </w:rPr>
            </w:pPr>
            <w:r w:rsidRPr="0002430E">
              <w:rPr>
                <w:color w:val="000000"/>
                <w:sz w:val="18"/>
                <w:szCs w:val="18"/>
              </w:rPr>
              <w:t>kom</w:t>
            </w:r>
          </w:p>
        </w:tc>
        <w:tc>
          <w:tcPr>
            <w:tcW w:w="1420" w:type="dxa"/>
            <w:shd w:val="clear" w:color="auto" w:fill="auto"/>
          </w:tcPr>
          <w:p w:rsidR="00220787" w:rsidRPr="0002430E" w:rsidRDefault="0002430E" w:rsidP="008271DF">
            <w:pPr>
              <w:autoSpaceDE w:val="0"/>
              <w:autoSpaceDN w:val="0"/>
              <w:adjustRightInd w:val="0"/>
              <w:jc w:val="center"/>
              <w:rPr>
                <w:color w:val="000000"/>
                <w:sz w:val="18"/>
                <w:szCs w:val="18"/>
                <w:lang w:val="sr-Cyrl-CS"/>
              </w:rPr>
            </w:pPr>
            <w:r w:rsidRPr="0002430E">
              <w:rPr>
                <w:color w:val="000000"/>
                <w:sz w:val="18"/>
                <w:szCs w:val="18"/>
                <w:lang w:val="sr-Cyrl-CS"/>
              </w:rPr>
              <w:t>20</w:t>
            </w:r>
          </w:p>
        </w:tc>
        <w:tc>
          <w:tcPr>
            <w:tcW w:w="1845" w:type="dxa"/>
            <w:shd w:val="clear" w:color="auto" w:fill="auto"/>
            <w:vAlign w:val="center"/>
          </w:tcPr>
          <w:p w:rsidR="00220787" w:rsidRPr="0002430E" w:rsidRDefault="00220787" w:rsidP="002A0879">
            <w:pPr>
              <w:tabs>
                <w:tab w:val="clear" w:pos="1440"/>
              </w:tabs>
              <w:suppressAutoHyphens w:val="0"/>
              <w:jc w:val="center"/>
              <w:rPr>
                <w:bCs/>
                <w:color w:val="000000"/>
                <w:sz w:val="18"/>
                <w:szCs w:val="18"/>
                <w:lang w:val="sr-Latn-CS" w:eastAsia="sr-Latn-CS"/>
              </w:rPr>
            </w:pPr>
            <w:r w:rsidRPr="0002430E">
              <w:rPr>
                <w:bCs/>
                <w:color w:val="000000"/>
                <w:sz w:val="18"/>
                <w:szCs w:val="18"/>
                <w:lang w:val="sr-Latn-CS" w:eastAsia="sr-Latn-CS"/>
              </w:rPr>
              <w:t> </w:t>
            </w:r>
          </w:p>
        </w:tc>
        <w:tc>
          <w:tcPr>
            <w:tcW w:w="1134" w:type="dxa"/>
            <w:shd w:val="clear" w:color="auto" w:fill="auto"/>
            <w:vAlign w:val="center"/>
          </w:tcPr>
          <w:p w:rsidR="00220787" w:rsidRPr="0002430E" w:rsidRDefault="0022078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220787" w:rsidRPr="0002430E" w:rsidRDefault="0022078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992" w:type="dxa"/>
            <w:shd w:val="clear" w:color="auto" w:fill="auto"/>
            <w:vAlign w:val="center"/>
          </w:tcPr>
          <w:p w:rsidR="00220787" w:rsidRPr="0002430E" w:rsidRDefault="0022078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134" w:type="dxa"/>
            <w:shd w:val="clear" w:color="auto" w:fill="auto"/>
            <w:vAlign w:val="center"/>
          </w:tcPr>
          <w:p w:rsidR="00220787" w:rsidRPr="0002430E" w:rsidRDefault="0022078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c>
          <w:tcPr>
            <w:tcW w:w="1929" w:type="dxa"/>
            <w:shd w:val="clear" w:color="auto" w:fill="auto"/>
            <w:vAlign w:val="center"/>
          </w:tcPr>
          <w:p w:rsidR="00220787" w:rsidRPr="0002430E" w:rsidRDefault="00220787" w:rsidP="002A0879">
            <w:pPr>
              <w:tabs>
                <w:tab w:val="clear" w:pos="1440"/>
              </w:tabs>
              <w:suppressAutoHyphens w:val="0"/>
              <w:jc w:val="left"/>
              <w:rPr>
                <w:sz w:val="18"/>
                <w:szCs w:val="18"/>
                <w:lang w:val="sr-Latn-CS" w:eastAsia="sr-Latn-CS"/>
              </w:rPr>
            </w:pPr>
            <w:r w:rsidRPr="0002430E">
              <w:rPr>
                <w:sz w:val="18"/>
                <w:szCs w:val="18"/>
                <w:lang w:val="sr-Latn-CS" w:eastAsia="sr-Latn-CS"/>
              </w:rPr>
              <w:t> </w:t>
            </w:r>
          </w:p>
        </w:tc>
      </w:tr>
    </w:tbl>
    <w:p w:rsidR="005F44FB" w:rsidRPr="008E10EB" w:rsidRDefault="00F62B15" w:rsidP="00C57B65">
      <w:pPr>
        <w:jc w:val="left"/>
        <w:rPr>
          <w:iCs/>
          <w:sz w:val="20"/>
          <w:szCs w:val="20"/>
          <w:lang w:val="sr-Cyrl-RS"/>
        </w:rPr>
        <w:sectPr w:rsidR="005F44FB" w:rsidRPr="008E10EB" w:rsidSect="004B7AE8">
          <w:type w:val="oddPage"/>
          <w:pgSz w:w="16838" w:h="11906" w:orient="landscape"/>
          <w:pgMar w:top="1440" w:right="1080" w:bottom="1440" w:left="1080" w:header="720" w:footer="720" w:gutter="0"/>
          <w:cols w:space="720"/>
          <w:titlePg/>
          <w:docGrid w:linePitch="360"/>
        </w:sectPr>
      </w:pPr>
      <w:r w:rsidRPr="008E10EB">
        <w:rPr>
          <w:b/>
          <w:i/>
          <w:iCs/>
          <w:sz w:val="20"/>
          <w:szCs w:val="20"/>
          <w:lang w:val="sr-Cyrl-RS"/>
        </w:rPr>
        <w:t>Напомена: Понуђач је дужан да потпише и овери печатом сваку страну спецификације</w:t>
      </w: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84128">
            <w:rPr>
              <w:rFonts w:eastAsia="Calibri"/>
              <w:sz w:val="20"/>
              <w:szCs w:val="20"/>
              <w:lang w:val="sr-Latn-CS" w:eastAsia="en-US"/>
            </w:rPr>
            <w:t xml:space="preserve"> JН ОП 1Д/19– Медицинска средства за интервентну радиологију по партијама</w:t>
          </w:r>
          <w:r w:rsidR="0002430E">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5E01CD" w:rsidRPr="008E10EB" w:rsidRDefault="005E01CD" w:rsidP="005E01CD">
      <w:pPr>
        <w:spacing w:line="276" w:lineRule="auto"/>
        <w:jc w:val="center"/>
        <w:rPr>
          <w:b/>
          <w:i/>
          <w:sz w:val="20"/>
          <w:szCs w:val="20"/>
          <w:lang w:val="sr-Cyrl-RS" w:eastAsia="en-US"/>
        </w:rPr>
      </w:pPr>
      <w:r w:rsidRPr="008E10EB">
        <w:rPr>
          <w:b/>
          <w:bCs/>
          <w:i/>
          <w:noProof/>
          <w:sz w:val="20"/>
          <w:szCs w:val="20"/>
          <w:lang w:val="sr-Cyrl-CS"/>
        </w:rPr>
        <w:t>-</w:t>
      </w:r>
      <w:r w:rsidRPr="008E10EB">
        <w:rPr>
          <w:b/>
          <w:i/>
          <w:sz w:val="20"/>
          <w:szCs w:val="20"/>
        </w:rPr>
        <w:t xml:space="preserve"> </w:t>
      </w:r>
      <w:r w:rsidR="0002430E" w:rsidRPr="0002430E">
        <w:rPr>
          <w:b/>
          <w:i/>
          <w:noProof/>
          <w:sz w:val="20"/>
          <w:szCs w:val="20"/>
          <w:lang w:val="sr-Cyrl-CS"/>
        </w:rPr>
        <w:t xml:space="preserve">Медицинска средства за интервентну радиологију по партијама </w:t>
      </w:r>
      <w:r w:rsidRPr="008E10EB">
        <w:rPr>
          <w:b/>
          <w:bCs/>
          <w:i/>
          <w:noProof/>
          <w:sz w:val="20"/>
          <w:szCs w:val="20"/>
          <w:lang w:val="sr-Cyrl-CS"/>
        </w:rPr>
        <w:t>-</w:t>
      </w: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2430E" w:rsidRPr="0002430E">
        <w:rPr>
          <w:sz w:val="20"/>
          <w:szCs w:val="20"/>
          <w:lang w:val="sr-Cyrl-RS"/>
        </w:rPr>
        <w:t>Медицинска средства за интервентну радиологију по партијама</w:t>
      </w:r>
      <w:r w:rsidR="0002430E">
        <w:rPr>
          <w:sz w:val="20"/>
          <w:szCs w:val="20"/>
          <w:lang w:val="sr-Cyrl-RS"/>
        </w:rPr>
        <w:t xml:space="preserve">, </w:t>
      </w:r>
      <w:r w:rsidRPr="008E10EB">
        <w:rPr>
          <w:sz w:val="20"/>
          <w:szCs w:val="20"/>
          <w:lang w:val="sr-Cyrl-RS" w:eastAsia="en-US"/>
        </w:rPr>
        <w:t xml:space="preserve"> </w:t>
      </w:r>
      <w:r w:rsidR="00884128">
        <w:rPr>
          <w:sz w:val="20"/>
          <w:szCs w:val="20"/>
          <w:lang w:val="sr-Cyrl-RS" w:eastAsia="en-US"/>
        </w:rPr>
        <w:t>JН ОП 1Д/19</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02430E" w:rsidRPr="0002430E">
        <w:rPr>
          <w:sz w:val="20"/>
          <w:szCs w:val="20"/>
          <w:lang w:val="sr-Cyrl-RS"/>
        </w:rPr>
        <w:t>Медицинска средства за интервентну радиологију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884128">
        <w:rPr>
          <w:noProof/>
          <w:sz w:val="20"/>
          <w:szCs w:val="20"/>
          <w:lang w:val="sr-Cyrl-RS" w:eastAsia="sr-Cyrl-RS"/>
        </w:rPr>
        <w:t>JН ОП 1Д/19</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 xml:space="preserve">Понудом са спецификацијом Добављача, одредбама овог </w:t>
      </w:r>
      <w:r w:rsidRPr="008E10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02430E">
      <w:pPr>
        <w:spacing w:line="276" w:lineRule="auto"/>
        <w:rPr>
          <w:noProof/>
          <w:color w:val="FF0000"/>
          <w:sz w:val="20"/>
          <w:szCs w:val="20"/>
          <w:lang w:val="sr-Latn-CS"/>
        </w:rPr>
      </w:pPr>
      <w:r w:rsidRPr="008E10EB">
        <w:rPr>
          <w:noProof/>
          <w:sz w:val="20"/>
          <w:szCs w:val="20"/>
          <w:lang w:val="sr-Cyrl-CS"/>
        </w:rPr>
        <w:t xml:space="preserve">  </w:t>
      </w:r>
    </w:p>
    <w:p w:rsidR="008C7462" w:rsidRPr="008C7462" w:rsidRDefault="008C7462" w:rsidP="005E01CD">
      <w:pPr>
        <w:spacing w:line="276" w:lineRule="auto"/>
        <w:rPr>
          <w:noProof/>
          <w:sz w:val="20"/>
          <w:szCs w:val="20"/>
          <w:lang w:val="sr-Cyrl-CS"/>
        </w:rPr>
      </w:pP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lastRenderedPageBreak/>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8C7462" w:rsidRDefault="008C7462"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02430E" w:rsidRPr="008E10EB" w:rsidRDefault="0002430E"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lastRenderedPageBreak/>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02430E" w:rsidRDefault="0002430E" w:rsidP="00E63D9C">
      <w:pPr>
        <w:tabs>
          <w:tab w:val="left" w:pos="1800"/>
        </w:tabs>
        <w:spacing w:line="276" w:lineRule="auto"/>
        <w:rPr>
          <w:b/>
          <w:bCs/>
          <w:i/>
          <w:iCs/>
          <w:sz w:val="20"/>
          <w:szCs w:val="20"/>
          <w:lang w:val="sr-Cyrl-CS"/>
        </w:rPr>
      </w:pPr>
    </w:p>
    <w:p w:rsidR="0002430E" w:rsidRPr="008E10EB" w:rsidRDefault="0002430E"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884128">
        <w:rPr>
          <w:sz w:val="20"/>
          <w:szCs w:val="20"/>
          <w:lang w:val="sr-Cyrl-CS"/>
        </w:rPr>
        <w:t>JН ОП 1Д/19</w:t>
      </w:r>
      <w:r w:rsidR="000D02F9" w:rsidRPr="008E10EB">
        <w:rPr>
          <w:sz w:val="20"/>
          <w:szCs w:val="20"/>
          <w:lang w:val="sr-Cyrl-CS"/>
        </w:rPr>
        <w:t xml:space="preserve"> – </w:t>
      </w:r>
      <w:r w:rsidR="0002430E" w:rsidRPr="0002430E">
        <w:rPr>
          <w:sz w:val="20"/>
          <w:szCs w:val="20"/>
          <w:lang w:val="sr-Cyrl-CS"/>
        </w:rPr>
        <w:t>Медицинска средства за интервентну радиологију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00B32DFF">
        <w:rPr>
          <w:rFonts w:eastAsia="Arial Unicode MS"/>
          <w:bCs/>
          <w:kern w:val="1"/>
          <w:sz w:val="20"/>
          <w:szCs w:val="20"/>
          <w:lang w:val="ru-RU"/>
        </w:rPr>
        <w:t>В</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B32DFF" w:rsidRPr="00B32DFF">
        <w:rPr>
          <w:b/>
          <w:bCs/>
          <w:sz w:val="20"/>
          <w:szCs w:val="20"/>
          <w:lang w:val="sr-Cyrl-CS"/>
        </w:rPr>
        <w:t xml:space="preserve">Медицинска средства за интервентну радиологију по партијама </w:t>
      </w:r>
      <w:r w:rsidRPr="008E10EB">
        <w:rPr>
          <w:b/>
          <w:bCs/>
          <w:sz w:val="20"/>
          <w:szCs w:val="20"/>
          <w:lang w:val="ru-RU"/>
        </w:rPr>
        <w:t>-</w:t>
      </w:r>
    </w:p>
    <w:p w:rsidR="00BE4B4B" w:rsidRPr="008E10EB" w:rsidRDefault="00884128" w:rsidP="00E63D9C">
      <w:pPr>
        <w:tabs>
          <w:tab w:val="left" w:pos="720"/>
        </w:tabs>
        <w:spacing w:line="276" w:lineRule="auto"/>
        <w:jc w:val="center"/>
        <w:rPr>
          <w:b/>
          <w:bCs/>
          <w:sz w:val="20"/>
          <w:szCs w:val="20"/>
          <w:lang w:val="ru-RU"/>
        </w:rPr>
      </w:pPr>
      <w:r>
        <w:rPr>
          <w:b/>
          <w:bCs/>
          <w:sz w:val="20"/>
          <w:szCs w:val="20"/>
          <w:lang w:val="ru-RU"/>
        </w:rPr>
        <w:t>JН ОП 1Д/19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B32DFF" w:rsidRPr="00B32DFF">
        <w:rPr>
          <w:sz w:val="20"/>
          <w:szCs w:val="20"/>
          <w:lang w:val="sr-Cyrl-RS"/>
        </w:rPr>
        <w:t>Медицинска средства за интервентну радиологију по партијама</w:t>
      </w:r>
      <w:r w:rsidRPr="008E10EB">
        <w:rPr>
          <w:sz w:val="20"/>
          <w:szCs w:val="20"/>
          <w:lang w:val="sr-Cyrl-RS"/>
        </w:rPr>
        <w:t>,</w:t>
      </w:r>
      <w:r w:rsidRPr="008E10EB">
        <w:rPr>
          <w:sz w:val="20"/>
          <w:szCs w:val="20"/>
          <w:lang w:val="sr-Cyrl-RS" w:eastAsia="en-US"/>
        </w:rPr>
        <w:t xml:space="preserve"> </w:t>
      </w:r>
      <w:r w:rsidR="00884128">
        <w:rPr>
          <w:sz w:val="20"/>
          <w:szCs w:val="20"/>
          <w:lang w:val="sr-Cyrl-RS" w:eastAsia="en-US"/>
        </w:rPr>
        <w:t>JН ОП 1Д/19</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B32DFF" w:rsidRPr="00B32DFF">
        <w:rPr>
          <w:sz w:val="20"/>
          <w:szCs w:val="20"/>
          <w:lang w:val="sr-Cyrl-RS"/>
        </w:rPr>
        <w:t>Медицинска средства за интервентну радиологију по партијама</w:t>
      </w:r>
      <w:r w:rsidR="00B32DFF">
        <w:rPr>
          <w:sz w:val="20"/>
          <w:szCs w:val="20"/>
          <w:lang w:val="sr-Cyrl-RS"/>
        </w:rPr>
        <w:t xml:space="preserve">, </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B32DFF" w:rsidRDefault="00B32DFF" w:rsidP="00E63D9C">
      <w:pPr>
        <w:tabs>
          <w:tab w:val="clear" w:pos="1440"/>
          <w:tab w:val="left" w:pos="709"/>
        </w:tabs>
        <w:spacing w:line="276" w:lineRule="auto"/>
        <w:rPr>
          <w:bCs/>
          <w:sz w:val="20"/>
          <w:szCs w:val="20"/>
          <w:lang w:val="sr-Cyrl-CS"/>
        </w:rPr>
      </w:pPr>
    </w:p>
    <w:p w:rsidR="00B32DFF" w:rsidRPr="00B32DFF" w:rsidRDefault="00B32DFF" w:rsidP="00E63D9C">
      <w:pPr>
        <w:tabs>
          <w:tab w:val="clear" w:pos="1440"/>
          <w:tab w:val="left" w:pos="709"/>
        </w:tabs>
        <w:spacing w:line="276" w:lineRule="auto"/>
        <w:rPr>
          <w:rFonts w:eastAsia="Calibri"/>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w:t>
      </w:r>
      <w:r w:rsidR="00884128">
        <w:rPr>
          <w:noProof/>
          <w:sz w:val="20"/>
          <w:szCs w:val="20"/>
          <w:lang w:val="sr-Cyrl-CS"/>
        </w:rPr>
        <w:t>2019</w:t>
      </w:r>
      <w:r w:rsidRPr="008E10EB">
        <w:rPr>
          <w:noProof/>
          <w:sz w:val="20"/>
          <w:szCs w:val="20"/>
          <w:lang w:val="sr-Cyrl-CS"/>
        </w:rPr>
        <w:t xml:space="preserve">. години вршиће се до нивоа средстава обезбеђених Финансијским планом за </w:t>
      </w:r>
      <w:r w:rsidR="00884128">
        <w:rPr>
          <w:noProof/>
          <w:sz w:val="20"/>
          <w:szCs w:val="20"/>
          <w:lang w:val="sr-Cyrl-CS"/>
        </w:rPr>
        <w:t>2019</w:t>
      </w:r>
      <w:r w:rsidRPr="008E10EB">
        <w:rPr>
          <w:noProof/>
          <w:sz w:val="20"/>
          <w:szCs w:val="20"/>
          <w:lang w:val="sr-Cyrl-CS"/>
        </w:rPr>
        <w:t xml:space="preserve">.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00B32DFF">
        <w:rPr>
          <w:noProof/>
          <w:sz w:val="20"/>
          <w:szCs w:val="20"/>
          <w:lang w:val="sr-Cyrl-CS"/>
        </w:rPr>
        <w:t xml:space="preserve"> у 2020</w:t>
      </w:r>
      <w:r w:rsidRPr="008E10EB">
        <w:rPr>
          <w:noProof/>
          <w:sz w:val="20"/>
          <w:szCs w:val="20"/>
          <w:lang w:val="sr-Cyrl-CS"/>
        </w:rPr>
        <w:t>. години Купац ће извршити плаћање Продавцу по обезбеђивању финансијских средстава усв</w:t>
      </w:r>
      <w:r w:rsidR="00B32DFF">
        <w:rPr>
          <w:noProof/>
          <w:sz w:val="20"/>
          <w:szCs w:val="20"/>
          <w:lang w:val="sr-Cyrl-CS"/>
        </w:rPr>
        <w:t>ајањем Финансијског плана за 2020</w:t>
      </w:r>
      <w:r w:rsidRPr="008E10EB">
        <w:rPr>
          <w:noProof/>
          <w:sz w:val="20"/>
          <w:szCs w:val="20"/>
          <w:lang w:val="sr-Cyrl-CS"/>
        </w:rPr>
        <w:t xml:space="preserve">.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lastRenderedPageBreak/>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54" w:rsidRDefault="00F90F54" w:rsidP="00D626E3">
      <w:r>
        <w:separator/>
      </w:r>
    </w:p>
  </w:endnote>
  <w:endnote w:type="continuationSeparator" w:id="0">
    <w:p w:rsidR="00F90F54" w:rsidRDefault="00F90F5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6A1EA4" w:rsidRDefault="006A1EA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C6348">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C6348">
              <w:rPr>
                <w:bCs/>
                <w:i/>
                <w:noProof/>
                <w:sz w:val="20"/>
                <w:szCs w:val="20"/>
              </w:rPr>
              <w:t>34</w:t>
            </w:r>
            <w:r w:rsidRPr="00A26472">
              <w:rPr>
                <w:bCs/>
                <w:i/>
                <w:sz w:val="20"/>
                <w:szCs w:val="20"/>
              </w:rPr>
              <w:fldChar w:fldCharType="end"/>
            </w:r>
          </w:p>
        </w:sdtContent>
      </w:sdt>
    </w:sdtContent>
  </w:sdt>
  <w:p w:rsidR="006A1EA4" w:rsidRDefault="006A1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4" w:rsidRPr="002302BB" w:rsidRDefault="006A1EA4"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C634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C6348">
              <w:rPr>
                <w:bCs/>
                <w:i/>
                <w:noProof/>
                <w:sz w:val="22"/>
                <w:szCs w:val="22"/>
              </w:rPr>
              <w:t>34</w:t>
            </w:r>
            <w:r w:rsidRPr="002302BB">
              <w:rPr>
                <w:bCs/>
                <w:i/>
                <w:sz w:val="22"/>
                <w:szCs w:val="22"/>
              </w:rPr>
              <w:fldChar w:fldCharType="end"/>
            </w:r>
          </w:sdtContent>
        </w:sdt>
      </w:sdtContent>
    </w:sdt>
  </w:p>
  <w:p w:rsidR="006A1EA4" w:rsidRPr="002302BB" w:rsidRDefault="006A1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6A1EA4" w:rsidRPr="009F7716" w:rsidRDefault="006A1EA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C6348">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C6348">
              <w:rPr>
                <w:b/>
                <w:bCs/>
                <w:i/>
                <w:noProof/>
                <w:sz w:val="20"/>
                <w:szCs w:val="20"/>
              </w:rPr>
              <w:t>34</w:t>
            </w:r>
            <w:r w:rsidRPr="009F7716">
              <w:rPr>
                <w:b/>
                <w:bCs/>
                <w:i/>
                <w:sz w:val="20"/>
                <w:szCs w:val="20"/>
              </w:rPr>
              <w:fldChar w:fldCharType="end"/>
            </w:r>
          </w:p>
        </w:sdtContent>
      </w:sdt>
    </w:sdtContent>
  </w:sdt>
  <w:p w:rsidR="006A1EA4" w:rsidRDefault="006A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54" w:rsidRDefault="00F90F54" w:rsidP="00D626E3">
      <w:r>
        <w:separator/>
      </w:r>
    </w:p>
  </w:footnote>
  <w:footnote w:type="continuationSeparator" w:id="0">
    <w:p w:rsidR="00F90F54" w:rsidRDefault="00F90F5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6A1EA4" w:rsidRPr="00B13A06" w:rsidRDefault="0002430E" w:rsidP="00884128">
        <w:pPr>
          <w:pStyle w:val="Header"/>
          <w:pBdr>
            <w:bottom w:val="thickThinSmallGap" w:sz="24" w:space="1" w:color="622423" w:themeColor="accent2" w:themeShade="7F"/>
          </w:pBdr>
          <w:jc w:val="center"/>
          <w:rPr>
            <w:i/>
            <w:sz w:val="16"/>
            <w:szCs w:val="16"/>
          </w:rPr>
        </w:pPr>
        <w:r>
          <w:rPr>
            <w:rFonts w:eastAsiaTheme="majorEastAsia"/>
            <w:b/>
            <w:i/>
            <w:sz w:val="20"/>
            <w:szCs w:val="20"/>
            <w:lang w:val="sr-Latn-CS"/>
          </w:rPr>
          <w:t xml:space="preserve"> JН ОП 1Д/19– Медицинска средства за интервентну радиологију по партијама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A1EA4" w:rsidRPr="006A241E" w:rsidRDefault="0002430E">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JН ОП 1Д/19– Медицинска средства за интервентну радиологију по партијама </w:t>
        </w:r>
      </w:p>
    </w:sdtContent>
  </w:sdt>
  <w:p w:rsidR="006A1EA4" w:rsidRDefault="006A1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4" w:rsidRDefault="006A1EA4" w:rsidP="00DA5BB4">
    <w:pPr>
      <w:ind w:left="360"/>
      <w:jc w:val="center"/>
      <w:rPr>
        <w:rFonts w:eastAsia="Calibri"/>
        <w:sz w:val="22"/>
        <w:szCs w:val="22"/>
        <w:lang w:val="sr-Cyrl-CS" w:eastAsia="en-US"/>
      </w:rPr>
    </w:pPr>
  </w:p>
  <w:p w:rsidR="006A1EA4" w:rsidRPr="00AD535E" w:rsidRDefault="006A1EA4"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02430E">
          <w:rPr>
            <w:rFonts w:eastAsia="Calibri"/>
            <w:i/>
            <w:sz w:val="22"/>
            <w:szCs w:val="22"/>
            <w:lang w:val="sr-Latn-CS" w:eastAsia="en-US"/>
          </w:rPr>
          <w:t xml:space="preserve"> JН ОП 1Д/19– Медицинска средства за интервентну радиологију по партијама </w:t>
        </w:r>
      </w:sdtContent>
    </w:sdt>
  </w:p>
  <w:p w:rsidR="006A1EA4" w:rsidRPr="008B61B7" w:rsidRDefault="006A1EA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430E"/>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1EA4"/>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28"/>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2DFF"/>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348"/>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0F54"/>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6713"/>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94B1-EA08-457B-9058-8C48AE62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12884</Words>
  <Characters>73440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ЈН ОП 15Д/18– Санитетски потрошни материјал за интервентну  радиологију по партијама </vt:lpstr>
    </vt:vector>
  </TitlesOfParts>
  <Company/>
  <LinksUpToDate>false</LinksUpToDate>
  <CharactersWithSpaces>86152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JН ОП 1Д/19– Медицинска средства за интервентну радиологију по партијама </dc:title>
  <dc:creator>Milan</dc:creator>
  <cp:lastModifiedBy>Babić Dunja</cp:lastModifiedBy>
  <cp:revision>4</cp:revision>
  <cp:lastPrinted>2015-12-23T12:46:00Z</cp:lastPrinted>
  <dcterms:created xsi:type="dcterms:W3CDTF">2019-01-15T08:49:00Z</dcterms:created>
  <dcterms:modified xsi:type="dcterms:W3CDTF">2019-01-15T08:51:00Z</dcterms:modified>
</cp:coreProperties>
</file>